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ABBE" w14:textId="77777777" w:rsidR="000E163C" w:rsidRDefault="00444266">
      <w:pPr>
        <w:rPr>
          <w:b/>
          <w:sz w:val="28"/>
          <w:szCs w:val="28"/>
        </w:rPr>
      </w:pPr>
      <w:r>
        <w:rPr>
          <w:b/>
          <w:noProof/>
          <w:sz w:val="28"/>
          <w:szCs w:val="28"/>
        </w:rPr>
        <w:drawing>
          <wp:inline distT="114300" distB="114300" distL="114300" distR="114300" wp14:anchorId="44262FD8" wp14:editId="0806422C">
            <wp:extent cx="1537229" cy="55340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537229" cy="553403"/>
                    </a:xfrm>
                    <a:prstGeom prst="rect">
                      <a:avLst/>
                    </a:prstGeom>
                    <a:ln/>
                  </pic:spPr>
                </pic:pic>
              </a:graphicData>
            </a:graphic>
          </wp:inline>
        </w:drawing>
      </w:r>
    </w:p>
    <w:p w14:paraId="363E96BA" w14:textId="77777777" w:rsidR="000E163C" w:rsidRDefault="000E163C">
      <w:pPr>
        <w:rPr>
          <w:b/>
          <w:sz w:val="28"/>
          <w:szCs w:val="28"/>
        </w:rPr>
      </w:pPr>
    </w:p>
    <w:p w14:paraId="1A293D55" w14:textId="77777777" w:rsidR="000E163C" w:rsidRDefault="00444266">
      <w:pPr>
        <w:jc w:val="center"/>
        <w:rPr>
          <w:b/>
          <w:sz w:val="32"/>
          <w:szCs w:val="32"/>
        </w:rPr>
      </w:pPr>
      <w:r>
        <w:rPr>
          <w:b/>
          <w:sz w:val="32"/>
          <w:szCs w:val="32"/>
        </w:rPr>
        <w:t>Mid - Year Overall Teacher Judgements: English Medium Strands 2023</w:t>
      </w:r>
    </w:p>
    <w:p w14:paraId="3B229E9A" w14:textId="77777777" w:rsidR="000E163C" w:rsidRDefault="000E163C"/>
    <w:tbl>
      <w:tblPr>
        <w:tblStyle w:val="a"/>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5"/>
        <w:gridCol w:w="1645"/>
        <w:gridCol w:w="1645"/>
        <w:gridCol w:w="1645"/>
        <w:gridCol w:w="1645"/>
        <w:gridCol w:w="1645"/>
      </w:tblGrid>
      <w:tr w:rsidR="000E163C" w14:paraId="27E31F7D" w14:textId="77777777">
        <w:tc>
          <w:tcPr>
            <w:tcW w:w="1645" w:type="dxa"/>
          </w:tcPr>
          <w:p w14:paraId="3A2B40AE" w14:textId="77777777" w:rsidR="000E163C" w:rsidRDefault="00444266">
            <w:r>
              <w:t>Learning Area</w:t>
            </w:r>
          </w:p>
        </w:tc>
        <w:tc>
          <w:tcPr>
            <w:tcW w:w="1645" w:type="dxa"/>
          </w:tcPr>
          <w:p w14:paraId="285D18AC" w14:textId="77777777" w:rsidR="000E163C" w:rsidRDefault="00444266">
            <w:pPr>
              <w:rPr>
                <w:b/>
              </w:rPr>
            </w:pPr>
            <w:r>
              <w:rPr>
                <w:b/>
              </w:rPr>
              <w:t>Well Above</w:t>
            </w:r>
          </w:p>
        </w:tc>
        <w:tc>
          <w:tcPr>
            <w:tcW w:w="1645" w:type="dxa"/>
          </w:tcPr>
          <w:p w14:paraId="16884093" w14:textId="77777777" w:rsidR="000E163C" w:rsidRDefault="00444266">
            <w:pPr>
              <w:rPr>
                <w:b/>
              </w:rPr>
            </w:pPr>
            <w:r>
              <w:rPr>
                <w:b/>
              </w:rPr>
              <w:t>Above</w:t>
            </w:r>
          </w:p>
        </w:tc>
        <w:tc>
          <w:tcPr>
            <w:tcW w:w="1645" w:type="dxa"/>
          </w:tcPr>
          <w:p w14:paraId="042202D3" w14:textId="77777777" w:rsidR="000E163C" w:rsidRDefault="00444266">
            <w:pPr>
              <w:rPr>
                <w:b/>
              </w:rPr>
            </w:pPr>
            <w:r>
              <w:rPr>
                <w:b/>
              </w:rPr>
              <w:t>At</w:t>
            </w:r>
          </w:p>
        </w:tc>
        <w:tc>
          <w:tcPr>
            <w:tcW w:w="1645" w:type="dxa"/>
          </w:tcPr>
          <w:p w14:paraId="27D30DB4" w14:textId="77777777" w:rsidR="000E163C" w:rsidRDefault="00444266">
            <w:pPr>
              <w:rPr>
                <w:b/>
              </w:rPr>
            </w:pPr>
            <w:r>
              <w:rPr>
                <w:b/>
              </w:rPr>
              <w:t>Below</w:t>
            </w:r>
          </w:p>
        </w:tc>
        <w:tc>
          <w:tcPr>
            <w:tcW w:w="1645" w:type="dxa"/>
          </w:tcPr>
          <w:p w14:paraId="66C17CF1" w14:textId="77777777" w:rsidR="000E163C" w:rsidRDefault="00444266">
            <w:pPr>
              <w:rPr>
                <w:b/>
              </w:rPr>
            </w:pPr>
            <w:r>
              <w:rPr>
                <w:b/>
              </w:rPr>
              <w:t>Well Below</w:t>
            </w:r>
          </w:p>
        </w:tc>
      </w:tr>
      <w:tr w:rsidR="000E163C" w14:paraId="57919EC6" w14:textId="77777777">
        <w:tc>
          <w:tcPr>
            <w:tcW w:w="1645" w:type="dxa"/>
            <w:shd w:val="clear" w:color="auto" w:fill="E2EFD9"/>
          </w:tcPr>
          <w:p w14:paraId="4F3BD481" w14:textId="77777777" w:rsidR="000E163C" w:rsidRDefault="00444266">
            <w:pPr>
              <w:rPr>
                <w:b/>
              </w:rPr>
            </w:pPr>
            <w:r>
              <w:rPr>
                <w:b/>
              </w:rPr>
              <w:t>Reading</w:t>
            </w:r>
          </w:p>
        </w:tc>
        <w:tc>
          <w:tcPr>
            <w:tcW w:w="1645" w:type="dxa"/>
            <w:shd w:val="clear" w:color="auto" w:fill="E2EFD9"/>
          </w:tcPr>
          <w:p w14:paraId="45542763" w14:textId="77777777" w:rsidR="000E163C" w:rsidRDefault="00444266">
            <w:pPr>
              <w:rPr>
                <w:color w:val="FF0000"/>
              </w:rPr>
            </w:pPr>
            <w:r>
              <w:t xml:space="preserve">17%     </w:t>
            </w:r>
            <w:r>
              <w:rPr>
                <w:color w:val="FF0000"/>
              </w:rPr>
              <w:t>21</w:t>
            </w:r>
          </w:p>
        </w:tc>
        <w:tc>
          <w:tcPr>
            <w:tcW w:w="1645" w:type="dxa"/>
            <w:shd w:val="clear" w:color="auto" w:fill="E2EFD9"/>
          </w:tcPr>
          <w:p w14:paraId="4877E897" w14:textId="77777777" w:rsidR="000E163C" w:rsidRDefault="00444266">
            <w:r>
              <w:t xml:space="preserve">11%    </w:t>
            </w:r>
            <w:r>
              <w:rPr>
                <w:color w:val="FF0000"/>
              </w:rPr>
              <w:t>14</w:t>
            </w:r>
          </w:p>
        </w:tc>
        <w:tc>
          <w:tcPr>
            <w:tcW w:w="1645" w:type="dxa"/>
            <w:shd w:val="clear" w:color="auto" w:fill="E2EFD9"/>
          </w:tcPr>
          <w:p w14:paraId="3B22CAB6" w14:textId="77777777" w:rsidR="000E163C" w:rsidRDefault="00444266">
            <w:pPr>
              <w:rPr>
                <w:color w:val="FF0000"/>
              </w:rPr>
            </w:pPr>
            <w:r>
              <w:t xml:space="preserve">43%    </w:t>
            </w:r>
            <w:r>
              <w:rPr>
                <w:color w:val="FF0000"/>
              </w:rPr>
              <w:t>53</w:t>
            </w:r>
          </w:p>
        </w:tc>
        <w:tc>
          <w:tcPr>
            <w:tcW w:w="1645" w:type="dxa"/>
            <w:shd w:val="clear" w:color="auto" w:fill="E2EFD9"/>
          </w:tcPr>
          <w:p w14:paraId="40C78A80" w14:textId="77777777" w:rsidR="000E163C" w:rsidRDefault="00444266">
            <w:r>
              <w:t xml:space="preserve">18%    </w:t>
            </w:r>
            <w:r>
              <w:rPr>
                <w:color w:val="FF0000"/>
              </w:rPr>
              <w:t>22</w:t>
            </w:r>
          </w:p>
        </w:tc>
        <w:tc>
          <w:tcPr>
            <w:tcW w:w="1645" w:type="dxa"/>
            <w:shd w:val="clear" w:color="auto" w:fill="E2EFD9"/>
          </w:tcPr>
          <w:p w14:paraId="421916EF" w14:textId="77777777" w:rsidR="000E163C" w:rsidRDefault="00444266">
            <w:r>
              <w:t xml:space="preserve">10%   </w:t>
            </w:r>
            <w:r>
              <w:rPr>
                <w:color w:val="FF0000"/>
              </w:rPr>
              <w:t xml:space="preserve"> 12</w:t>
            </w:r>
          </w:p>
        </w:tc>
      </w:tr>
      <w:tr w:rsidR="000E163C" w14:paraId="33B58C76" w14:textId="77777777">
        <w:tc>
          <w:tcPr>
            <w:tcW w:w="9870" w:type="dxa"/>
            <w:gridSpan w:val="6"/>
            <w:shd w:val="clear" w:color="auto" w:fill="E2EFD9"/>
          </w:tcPr>
          <w:p w14:paraId="0884E481" w14:textId="77777777" w:rsidR="000E163C" w:rsidRDefault="000E163C">
            <w:pPr>
              <w:jc w:val="center"/>
            </w:pPr>
          </w:p>
          <w:p w14:paraId="6D3EE2C8" w14:textId="77777777" w:rsidR="000E163C" w:rsidRDefault="00444266">
            <w:r>
              <w:t xml:space="preserve">At </w:t>
            </w:r>
            <w:proofErr w:type="spellStart"/>
            <w:r>
              <w:t>to</w:t>
            </w:r>
            <w:proofErr w:type="spellEnd"/>
            <w:r>
              <w:t xml:space="preserve"> well above expectation: </w:t>
            </w:r>
            <w:r>
              <w:rPr>
                <w:b/>
              </w:rPr>
              <w:t>71%</w:t>
            </w:r>
            <w:r>
              <w:t xml:space="preserve"> (88/122 students)                                              </w:t>
            </w:r>
            <w:r>
              <w:rPr>
                <w:b/>
                <w:color w:val="0070C0"/>
              </w:rPr>
              <w:t>2022: 76%</w:t>
            </w:r>
          </w:p>
          <w:p w14:paraId="208EFC28" w14:textId="77777777" w:rsidR="000E163C" w:rsidRDefault="000E163C"/>
          <w:p w14:paraId="286C5AC8" w14:textId="77777777" w:rsidR="000E163C" w:rsidRDefault="00444266">
            <w:r>
              <w:t xml:space="preserve">Below to well below expectation: </w:t>
            </w:r>
            <w:r>
              <w:rPr>
                <w:b/>
              </w:rPr>
              <w:t>28%</w:t>
            </w:r>
            <w:r>
              <w:t xml:space="preserve">  (34/122 students)</w:t>
            </w:r>
          </w:p>
          <w:p w14:paraId="5FE372BC" w14:textId="77777777" w:rsidR="000E163C" w:rsidRDefault="000E163C">
            <w:pPr>
              <w:jc w:val="center"/>
            </w:pPr>
          </w:p>
        </w:tc>
      </w:tr>
      <w:tr w:rsidR="000E163C" w14:paraId="7C77440A" w14:textId="77777777">
        <w:tc>
          <w:tcPr>
            <w:tcW w:w="9870" w:type="dxa"/>
            <w:gridSpan w:val="6"/>
            <w:shd w:val="clear" w:color="auto" w:fill="E2EFD9"/>
          </w:tcPr>
          <w:p w14:paraId="56DA4F80" w14:textId="77777777" w:rsidR="000E163C" w:rsidRDefault="00444266">
            <w:pPr>
              <w:jc w:val="both"/>
              <w:rPr>
                <w:i/>
                <w:sz w:val="20"/>
                <w:szCs w:val="20"/>
              </w:rPr>
            </w:pPr>
            <w:r>
              <w:rPr>
                <w:i/>
                <w:sz w:val="20"/>
                <w:szCs w:val="20"/>
              </w:rPr>
              <w:t>A drop of 5% since last year’s mid-year results. 5% is equal to 6 children (or 1 child per classroom). With support,         reading achievement can shift more quickly than other areas. Recent PAT results indicate it is likely a number of students just bel</w:t>
            </w:r>
            <w:r>
              <w:rPr>
                <w:i/>
                <w:sz w:val="20"/>
                <w:szCs w:val="20"/>
              </w:rPr>
              <w:t xml:space="preserve">ow will have lifted their achievement in reading by the end of the year to be “at” expectation.  </w:t>
            </w:r>
          </w:p>
          <w:p w14:paraId="1028CA07" w14:textId="77777777" w:rsidR="000E163C" w:rsidRDefault="000E163C">
            <w:pPr>
              <w:jc w:val="both"/>
              <w:rPr>
                <w:i/>
                <w:sz w:val="20"/>
                <w:szCs w:val="20"/>
              </w:rPr>
            </w:pPr>
          </w:p>
          <w:p w14:paraId="07DB30EF" w14:textId="77777777" w:rsidR="000E163C" w:rsidRDefault="00444266">
            <w:pPr>
              <w:jc w:val="both"/>
              <w:rPr>
                <w:i/>
                <w:sz w:val="20"/>
                <w:szCs w:val="20"/>
              </w:rPr>
            </w:pPr>
            <w:r>
              <w:rPr>
                <w:i/>
                <w:sz w:val="20"/>
                <w:szCs w:val="20"/>
              </w:rPr>
              <w:t xml:space="preserve">12 of the students who achieved below to well below are receiving </w:t>
            </w:r>
            <w:proofErr w:type="spellStart"/>
            <w:r>
              <w:rPr>
                <w:i/>
                <w:sz w:val="20"/>
                <w:szCs w:val="20"/>
              </w:rPr>
              <w:t>MoE</w:t>
            </w:r>
            <w:proofErr w:type="spellEnd"/>
            <w:r>
              <w:rPr>
                <w:i/>
                <w:sz w:val="20"/>
                <w:szCs w:val="20"/>
              </w:rPr>
              <w:t xml:space="preserve"> learning support funding as their learning needs qualify them for specific assistance. </w:t>
            </w:r>
            <w:r>
              <w:rPr>
                <w:i/>
                <w:sz w:val="20"/>
                <w:szCs w:val="20"/>
              </w:rPr>
              <w:t>All of the learning needs of these students directly affect their reading achievement. If these students were excluded from the results then 80% of all other students are achieving at or above for reading (including 13  students who are also receiving this</w:t>
            </w:r>
            <w:r>
              <w:rPr>
                <w:i/>
                <w:sz w:val="20"/>
                <w:szCs w:val="20"/>
              </w:rPr>
              <w:t xml:space="preserve"> support).</w:t>
            </w:r>
          </w:p>
          <w:p w14:paraId="7EF0F1C0" w14:textId="77777777" w:rsidR="000E163C" w:rsidRDefault="000E163C">
            <w:pPr>
              <w:jc w:val="center"/>
            </w:pPr>
          </w:p>
        </w:tc>
      </w:tr>
      <w:tr w:rsidR="000E163C" w14:paraId="5F8A1EA1" w14:textId="77777777">
        <w:tc>
          <w:tcPr>
            <w:tcW w:w="1645" w:type="dxa"/>
            <w:shd w:val="clear" w:color="auto" w:fill="D9E2F3"/>
          </w:tcPr>
          <w:p w14:paraId="067A260D" w14:textId="77777777" w:rsidR="000E163C" w:rsidRDefault="00444266">
            <w:pPr>
              <w:rPr>
                <w:b/>
              </w:rPr>
            </w:pPr>
            <w:r>
              <w:rPr>
                <w:b/>
              </w:rPr>
              <w:t>Writing</w:t>
            </w:r>
          </w:p>
        </w:tc>
        <w:tc>
          <w:tcPr>
            <w:tcW w:w="1645" w:type="dxa"/>
            <w:shd w:val="clear" w:color="auto" w:fill="D9E2F3"/>
          </w:tcPr>
          <w:p w14:paraId="1712824A" w14:textId="77777777" w:rsidR="000E163C" w:rsidRDefault="00444266">
            <w:r>
              <w:t xml:space="preserve">8%       </w:t>
            </w:r>
            <w:r>
              <w:rPr>
                <w:color w:val="FF0000"/>
              </w:rPr>
              <w:t>10</w:t>
            </w:r>
          </w:p>
        </w:tc>
        <w:tc>
          <w:tcPr>
            <w:tcW w:w="1645" w:type="dxa"/>
            <w:shd w:val="clear" w:color="auto" w:fill="D9E2F3"/>
          </w:tcPr>
          <w:p w14:paraId="3C1D01E3" w14:textId="77777777" w:rsidR="000E163C" w:rsidRDefault="00444266">
            <w:r>
              <w:t xml:space="preserve">9%      </w:t>
            </w:r>
            <w:r>
              <w:rPr>
                <w:color w:val="FF0000"/>
              </w:rPr>
              <w:t>11</w:t>
            </w:r>
          </w:p>
        </w:tc>
        <w:tc>
          <w:tcPr>
            <w:tcW w:w="1645" w:type="dxa"/>
            <w:shd w:val="clear" w:color="auto" w:fill="D9E2F3"/>
          </w:tcPr>
          <w:p w14:paraId="3FDE335D" w14:textId="77777777" w:rsidR="000E163C" w:rsidRDefault="00444266">
            <w:r>
              <w:t xml:space="preserve">36%     </w:t>
            </w:r>
            <w:r>
              <w:rPr>
                <w:color w:val="FF0000"/>
              </w:rPr>
              <w:t>44</w:t>
            </w:r>
          </w:p>
        </w:tc>
        <w:tc>
          <w:tcPr>
            <w:tcW w:w="1645" w:type="dxa"/>
            <w:shd w:val="clear" w:color="auto" w:fill="D9E2F3"/>
          </w:tcPr>
          <w:p w14:paraId="4A653EB7" w14:textId="77777777" w:rsidR="000E163C" w:rsidRDefault="00444266">
            <w:r>
              <w:t xml:space="preserve">29%    </w:t>
            </w:r>
            <w:r>
              <w:rPr>
                <w:color w:val="FF0000"/>
              </w:rPr>
              <w:t>35</w:t>
            </w:r>
          </w:p>
        </w:tc>
        <w:tc>
          <w:tcPr>
            <w:tcW w:w="1645" w:type="dxa"/>
            <w:shd w:val="clear" w:color="auto" w:fill="D9E2F3"/>
          </w:tcPr>
          <w:p w14:paraId="2923DAB5" w14:textId="77777777" w:rsidR="000E163C" w:rsidRDefault="00444266">
            <w:r>
              <w:t xml:space="preserve">18%    </w:t>
            </w:r>
            <w:r>
              <w:rPr>
                <w:color w:val="FF0000"/>
              </w:rPr>
              <w:t>22</w:t>
            </w:r>
          </w:p>
        </w:tc>
      </w:tr>
      <w:tr w:rsidR="000E163C" w14:paraId="5CB4AF1C" w14:textId="77777777">
        <w:tc>
          <w:tcPr>
            <w:tcW w:w="9870" w:type="dxa"/>
            <w:gridSpan w:val="6"/>
            <w:shd w:val="clear" w:color="auto" w:fill="D9E2F3"/>
          </w:tcPr>
          <w:p w14:paraId="50C5EE43" w14:textId="77777777" w:rsidR="000E163C" w:rsidRDefault="000E163C">
            <w:pPr>
              <w:jc w:val="center"/>
            </w:pPr>
          </w:p>
          <w:p w14:paraId="54527022" w14:textId="77777777" w:rsidR="000E163C" w:rsidRDefault="00444266">
            <w:r>
              <w:t xml:space="preserve">At </w:t>
            </w:r>
            <w:proofErr w:type="spellStart"/>
            <w:r>
              <w:t>to</w:t>
            </w:r>
            <w:proofErr w:type="spellEnd"/>
            <w:r>
              <w:t xml:space="preserve"> well above expectation: </w:t>
            </w:r>
            <w:r>
              <w:rPr>
                <w:b/>
              </w:rPr>
              <w:t>53%</w:t>
            </w:r>
            <w:r>
              <w:t xml:space="preserve">  (65/122 students)                                              </w:t>
            </w:r>
            <w:r>
              <w:rPr>
                <w:b/>
                <w:color w:val="0070C0"/>
              </w:rPr>
              <w:t>2022: 64%</w:t>
            </w:r>
          </w:p>
          <w:p w14:paraId="79A4A27D" w14:textId="77777777" w:rsidR="000E163C" w:rsidRDefault="000E163C"/>
          <w:p w14:paraId="3BFA82F5" w14:textId="77777777" w:rsidR="000E163C" w:rsidRDefault="00444266">
            <w:r>
              <w:t xml:space="preserve">Below to well below expectation: </w:t>
            </w:r>
            <w:r>
              <w:rPr>
                <w:b/>
              </w:rPr>
              <w:t>47%</w:t>
            </w:r>
            <w:r>
              <w:t xml:space="preserve">  (57/122 students)</w:t>
            </w:r>
          </w:p>
          <w:p w14:paraId="147EBA10" w14:textId="77777777" w:rsidR="000E163C" w:rsidRDefault="000E163C">
            <w:pPr>
              <w:jc w:val="center"/>
            </w:pPr>
          </w:p>
        </w:tc>
      </w:tr>
      <w:tr w:rsidR="000E163C" w14:paraId="011434BF" w14:textId="77777777">
        <w:tc>
          <w:tcPr>
            <w:tcW w:w="9870" w:type="dxa"/>
            <w:gridSpan w:val="6"/>
            <w:shd w:val="clear" w:color="auto" w:fill="D9E2F3"/>
          </w:tcPr>
          <w:p w14:paraId="1AAEA0F6" w14:textId="77777777" w:rsidR="000E163C" w:rsidRDefault="00444266">
            <w:pPr>
              <w:jc w:val="both"/>
              <w:rPr>
                <w:i/>
                <w:sz w:val="20"/>
                <w:szCs w:val="20"/>
              </w:rPr>
            </w:pPr>
            <w:r>
              <w:rPr>
                <w:i/>
                <w:sz w:val="20"/>
                <w:szCs w:val="20"/>
              </w:rPr>
              <w:t>This is an 11% drop. The recent recount writing results indicated 69% of students achieved at expectation (or above), however an OTJ is based on a child’s overall ability. While we want this to improve, it does reassure me that teachers are not basing OTJ’</w:t>
            </w:r>
            <w:r>
              <w:rPr>
                <w:i/>
                <w:sz w:val="20"/>
                <w:szCs w:val="20"/>
              </w:rPr>
              <w:t>s on one assessment. That being said, it will be worthwhile to have a discussion about the difference. Teachers are cautious with their OTJ’s at the start of the year. Are they erring on the side of caution a little too much? We know we have work to do rai</w:t>
            </w:r>
            <w:r>
              <w:rPr>
                <w:i/>
                <w:sz w:val="20"/>
                <w:szCs w:val="20"/>
              </w:rPr>
              <w:t>sing writing achievement. This takes time, but I am hopeful the end of year OTJ will be higher and that those students who are “just below” will achieve “at” by the end of the year.</w:t>
            </w:r>
          </w:p>
          <w:p w14:paraId="3861C466" w14:textId="77777777" w:rsidR="000E163C" w:rsidRDefault="000E163C">
            <w:pPr>
              <w:jc w:val="both"/>
              <w:rPr>
                <w:i/>
                <w:sz w:val="20"/>
                <w:szCs w:val="20"/>
              </w:rPr>
            </w:pPr>
          </w:p>
          <w:p w14:paraId="19B85E64" w14:textId="77777777" w:rsidR="000E163C" w:rsidRDefault="00444266">
            <w:pPr>
              <w:jc w:val="both"/>
              <w:rPr>
                <w:i/>
                <w:sz w:val="20"/>
                <w:szCs w:val="20"/>
              </w:rPr>
            </w:pPr>
            <w:r>
              <w:rPr>
                <w:i/>
                <w:sz w:val="20"/>
                <w:szCs w:val="20"/>
              </w:rPr>
              <w:t xml:space="preserve">17 of the students below to well below are receiving </w:t>
            </w:r>
            <w:proofErr w:type="spellStart"/>
            <w:r>
              <w:rPr>
                <w:i/>
                <w:sz w:val="20"/>
                <w:szCs w:val="20"/>
              </w:rPr>
              <w:t>MoE</w:t>
            </w:r>
            <w:proofErr w:type="spellEnd"/>
            <w:r>
              <w:rPr>
                <w:i/>
                <w:sz w:val="20"/>
                <w:szCs w:val="20"/>
              </w:rPr>
              <w:t xml:space="preserve"> learning support</w:t>
            </w:r>
            <w:r>
              <w:rPr>
                <w:i/>
                <w:sz w:val="20"/>
                <w:szCs w:val="20"/>
              </w:rPr>
              <w:t xml:space="preserve"> funding. A significant number of  them are ESOL and we would not expect them to be writing at expectation. </w:t>
            </w:r>
          </w:p>
          <w:p w14:paraId="5109D3EE" w14:textId="77777777" w:rsidR="000E163C" w:rsidRDefault="000E163C">
            <w:pPr>
              <w:jc w:val="center"/>
            </w:pPr>
          </w:p>
        </w:tc>
      </w:tr>
      <w:tr w:rsidR="000E163C" w14:paraId="1A8E003B" w14:textId="77777777">
        <w:tc>
          <w:tcPr>
            <w:tcW w:w="1645" w:type="dxa"/>
            <w:shd w:val="clear" w:color="auto" w:fill="FBE5D5"/>
          </w:tcPr>
          <w:p w14:paraId="7F382A59" w14:textId="77777777" w:rsidR="000E163C" w:rsidRDefault="00444266">
            <w:pPr>
              <w:rPr>
                <w:b/>
              </w:rPr>
            </w:pPr>
            <w:r>
              <w:rPr>
                <w:b/>
              </w:rPr>
              <w:t>Mathematics</w:t>
            </w:r>
          </w:p>
        </w:tc>
        <w:tc>
          <w:tcPr>
            <w:tcW w:w="1645" w:type="dxa"/>
            <w:shd w:val="clear" w:color="auto" w:fill="FBE5D5"/>
          </w:tcPr>
          <w:p w14:paraId="28BD838F" w14:textId="77777777" w:rsidR="000E163C" w:rsidRDefault="00444266">
            <w:r>
              <w:t xml:space="preserve">8%    </w:t>
            </w:r>
            <w:r>
              <w:rPr>
                <w:color w:val="FF0000"/>
              </w:rPr>
              <w:t xml:space="preserve">  10</w:t>
            </w:r>
          </w:p>
        </w:tc>
        <w:tc>
          <w:tcPr>
            <w:tcW w:w="1645" w:type="dxa"/>
            <w:shd w:val="clear" w:color="auto" w:fill="FBE5D5"/>
          </w:tcPr>
          <w:p w14:paraId="096CC145" w14:textId="77777777" w:rsidR="000E163C" w:rsidRDefault="00444266">
            <w:r>
              <w:t xml:space="preserve">17%     </w:t>
            </w:r>
            <w:r>
              <w:rPr>
                <w:color w:val="FF0000"/>
              </w:rPr>
              <w:t>21</w:t>
            </w:r>
          </w:p>
        </w:tc>
        <w:tc>
          <w:tcPr>
            <w:tcW w:w="1645" w:type="dxa"/>
            <w:shd w:val="clear" w:color="auto" w:fill="FBE5D5"/>
          </w:tcPr>
          <w:p w14:paraId="2C3F3003" w14:textId="77777777" w:rsidR="000E163C" w:rsidRDefault="00444266">
            <w:r>
              <w:t xml:space="preserve">37%     </w:t>
            </w:r>
            <w:r>
              <w:rPr>
                <w:color w:val="FF0000"/>
              </w:rPr>
              <w:t>45</w:t>
            </w:r>
          </w:p>
        </w:tc>
        <w:tc>
          <w:tcPr>
            <w:tcW w:w="1645" w:type="dxa"/>
            <w:shd w:val="clear" w:color="auto" w:fill="FBE5D5"/>
          </w:tcPr>
          <w:p w14:paraId="0F21A28F" w14:textId="77777777" w:rsidR="000E163C" w:rsidRDefault="00444266">
            <w:r>
              <w:t xml:space="preserve">23%     </w:t>
            </w:r>
            <w:r>
              <w:rPr>
                <w:color w:val="FF0000"/>
              </w:rPr>
              <w:t>28</w:t>
            </w:r>
          </w:p>
        </w:tc>
        <w:tc>
          <w:tcPr>
            <w:tcW w:w="1645" w:type="dxa"/>
            <w:shd w:val="clear" w:color="auto" w:fill="FBE5D5"/>
          </w:tcPr>
          <w:p w14:paraId="1865F5A9" w14:textId="77777777" w:rsidR="000E163C" w:rsidRDefault="00444266">
            <w:r>
              <w:t xml:space="preserve">15%    </w:t>
            </w:r>
            <w:r>
              <w:rPr>
                <w:color w:val="FF0000"/>
              </w:rPr>
              <w:t xml:space="preserve"> 18</w:t>
            </w:r>
          </w:p>
        </w:tc>
      </w:tr>
      <w:tr w:rsidR="000E163C" w14:paraId="6AB04D23" w14:textId="77777777">
        <w:tc>
          <w:tcPr>
            <w:tcW w:w="9870" w:type="dxa"/>
            <w:gridSpan w:val="6"/>
            <w:shd w:val="clear" w:color="auto" w:fill="FBE5D5"/>
          </w:tcPr>
          <w:p w14:paraId="54AB94E0" w14:textId="77777777" w:rsidR="000E163C" w:rsidRDefault="000E163C">
            <w:pPr>
              <w:jc w:val="center"/>
            </w:pPr>
          </w:p>
          <w:p w14:paraId="557B2D1D" w14:textId="77777777" w:rsidR="000E163C" w:rsidRDefault="00444266">
            <w:r>
              <w:t xml:space="preserve">At </w:t>
            </w:r>
            <w:proofErr w:type="spellStart"/>
            <w:r>
              <w:t>to</w:t>
            </w:r>
            <w:proofErr w:type="spellEnd"/>
            <w:r>
              <w:t xml:space="preserve"> well above expectation: </w:t>
            </w:r>
            <w:r>
              <w:rPr>
                <w:b/>
              </w:rPr>
              <w:t>62%</w:t>
            </w:r>
            <w:r>
              <w:t xml:space="preserve">  (76/122 students)                                               </w:t>
            </w:r>
            <w:r>
              <w:rPr>
                <w:b/>
                <w:color w:val="0070C0"/>
              </w:rPr>
              <w:t>2022: 68%</w:t>
            </w:r>
          </w:p>
          <w:p w14:paraId="717EA645" w14:textId="77777777" w:rsidR="000E163C" w:rsidRDefault="00444266">
            <w:r>
              <w:t xml:space="preserve">     </w:t>
            </w:r>
          </w:p>
          <w:p w14:paraId="22BDA51F" w14:textId="77777777" w:rsidR="000E163C" w:rsidRDefault="00444266">
            <w:r>
              <w:t xml:space="preserve">Below to well below expectation: </w:t>
            </w:r>
            <w:r>
              <w:rPr>
                <w:b/>
              </w:rPr>
              <w:t>38%</w:t>
            </w:r>
            <w:r>
              <w:t xml:space="preserve">  (46/122 students)</w:t>
            </w:r>
          </w:p>
          <w:p w14:paraId="60745A12" w14:textId="77777777" w:rsidR="000E163C" w:rsidRDefault="000E163C">
            <w:pPr>
              <w:jc w:val="center"/>
            </w:pPr>
          </w:p>
        </w:tc>
      </w:tr>
      <w:tr w:rsidR="000E163C" w14:paraId="1C06F371" w14:textId="77777777">
        <w:tc>
          <w:tcPr>
            <w:tcW w:w="9870" w:type="dxa"/>
            <w:gridSpan w:val="6"/>
            <w:shd w:val="clear" w:color="auto" w:fill="FBE5D5"/>
          </w:tcPr>
          <w:p w14:paraId="088C2770" w14:textId="77777777" w:rsidR="000E163C" w:rsidRDefault="00444266">
            <w:pPr>
              <w:jc w:val="both"/>
              <w:rPr>
                <w:i/>
                <w:sz w:val="20"/>
                <w:szCs w:val="20"/>
              </w:rPr>
            </w:pPr>
            <w:r>
              <w:rPr>
                <w:i/>
                <w:sz w:val="20"/>
                <w:szCs w:val="20"/>
              </w:rPr>
              <w:t>This is a drop of 6% since last year (approximately 7 children). It includes a number of students who teachers describe as “borderline.” As with the other subjects our goal will be to progress those students to “at expectation” by the end of the year and a</w:t>
            </w:r>
            <w:r>
              <w:rPr>
                <w:i/>
                <w:sz w:val="20"/>
                <w:szCs w:val="20"/>
              </w:rPr>
              <w:t xml:space="preserve">chieve a higher overall percentage at or above in mathematics. </w:t>
            </w:r>
          </w:p>
          <w:p w14:paraId="03D1A080" w14:textId="77777777" w:rsidR="000E163C" w:rsidRDefault="000E163C">
            <w:pPr>
              <w:rPr>
                <w:i/>
                <w:sz w:val="20"/>
                <w:szCs w:val="20"/>
              </w:rPr>
            </w:pPr>
          </w:p>
        </w:tc>
      </w:tr>
    </w:tbl>
    <w:p w14:paraId="51B5FE95" w14:textId="77777777" w:rsidR="000E163C" w:rsidRDefault="000E163C"/>
    <w:p w14:paraId="4DF46D60" w14:textId="77777777" w:rsidR="000E163C" w:rsidRDefault="00444266">
      <w:pPr>
        <w:jc w:val="both"/>
      </w:pPr>
      <w:r>
        <w:t>A drop in overall results is always concerning. We try to understand why results shift and change – up or down – and sometimes there are multiple possibilities. Results have been higher dur</w:t>
      </w:r>
      <w:r>
        <w:t xml:space="preserve">ing times when the same staff and teaching programmes were being delivered so as well as looking at our  classroom teaching and intervention strategies, we need to be aware of other factors that impact on progress, including: </w:t>
      </w:r>
    </w:p>
    <w:p w14:paraId="3514CE26" w14:textId="77777777" w:rsidR="000E163C" w:rsidRDefault="000E163C"/>
    <w:p w14:paraId="7A354C36" w14:textId="77777777" w:rsidR="000E163C" w:rsidRDefault="000E163C"/>
    <w:p w14:paraId="69B9AD99" w14:textId="77777777" w:rsidR="000E163C" w:rsidRDefault="00444266">
      <w:pPr>
        <w:numPr>
          <w:ilvl w:val="0"/>
          <w:numId w:val="2"/>
        </w:numPr>
        <w:pBdr>
          <w:top w:val="nil"/>
          <w:left w:val="nil"/>
          <w:bottom w:val="nil"/>
          <w:right w:val="nil"/>
          <w:between w:val="nil"/>
        </w:pBdr>
      </w:pPr>
      <w:r>
        <w:lastRenderedPageBreak/>
        <w:t>Attendance (for your intere</w:t>
      </w:r>
      <w:r>
        <w:t>st I have included an example of this below)</w:t>
      </w:r>
    </w:p>
    <w:p w14:paraId="1345BBB3" w14:textId="77777777" w:rsidR="000E163C" w:rsidRDefault="00444266">
      <w:pPr>
        <w:numPr>
          <w:ilvl w:val="0"/>
          <w:numId w:val="2"/>
        </w:numPr>
        <w:pBdr>
          <w:top w:val="nil"/>
          <w:left w:val="nil"/>
          <w:bottom w:val="nil"/>
          <w:right w:val="nil"/>
          <w:between w:val="nil"/>
        </w:pBdr>
      </w:pPr>
      <w:r>
        <w:rPr>
          <w:color w:val="000000"/>
        </w:rPr>
        <w:t xml:space="preserve">Loss of learning over the past three years due to </w:t>
      </w:r>
      <w:r>
        <w:t>C</w:t>
      </w:r>
      <w:r>
        <w:rPr>
          <w:color w:val="000000"/>
        </w:rPr>
        <w:t>ovid-19 (this is not a quick fix when some children lost up to two terms of face to face teaching)</w:t>
      </w:r>
    </w:p>
    <w:p w14:paraId="753E71D4" w14:textId="77777777" w:rsidR="000E163C" w:rsidRDefault="00444266">
      <w:pPr>
        <w:numPr>
          <w:ilvl w:val="0"/>
          <w:numId w:val="2"/>
        </w:numPr>
        <w:pBdr>
          <w:top w:val="nil"/>
          <w:left w:val="nil"/>
          <w:bottom w:val="nil"/>
          <w:right w:val="nil"/>
          <w:between w:val="nil"/>
        </w:pBdr>
      </w:pPr>
      <w:r>
        <w:rPr>
          <w:color w:val="000000"/>
        </w:rPr>
        <w:t>Class disruptions due to high teacher absences</w:t>
      </w:r>
    </w:p>
    <w:p w14:paraId="77A1CDDE" w14:textId="77777777" w:rsidR="000E163C" w:rsidRDefault="00444266">
      <w:pPr>
        <w:numPr>
          <w:ilvl w:val="0"/>
          <w:numId w:val="2"/>
        </w:numPr>
        <w:pBdr>
          <w:top w:val="nil"/>
          <w:left w:val="nil"/>
          <w:bottom w:val="nil"/>
          <w:right w:val="nil"/>
          <w:between w:val="nil"/>
        </w:pBdr>
      </w:pPr>
      <w:r>
        <w:rPr>
          <w:color w:val="000000"/>
        </w:rPr>
        <w:t xml:space="preserve">Lack of </w:t>
      </w:r>
      <w:proofErr w:type="spellStart"/>
      <w:r>
        <w:rPr>
          <w:color w:val="000000"/>
        </w:rPr>
        <w:t>wh</w:t>
      </w:r>
      <w:r>
        <w:rPr>
          <w:sz w:val="20"/>
          <w:szCs w:val="20"/>
        </w:rPr>
        <w:t>ā</w:t>
      </w:r>
      <w:r>
        <w:rPr>
          <w:color w:val="000000"/>
        </w:rPr>
        <w:t>nau</w:t>
      </w:r>
      <w:proofErr w:type="spellEnd"/>
      <w:r>
        <w:rPr>
          <w:color w:val="000000"/>
        </w:rPr>
        <w:t xml:space="preserve"> engagement</w:t>
      </w:r>
    </w:p>
    <w:p w14:paraId="1563C798" w14:textId="77777777" w:rsidR="000E163C" w:rsidRDefault="00444266">
      <w:pPr>
        <w:numPr>
          <w:ilvl w:val="0"/>
          <w:numId w:val="2"/>
        </w:numPr>
        <w:pBdr>
          <w:top w:val="nil"/>
          <w:left w:val="nil"/>
          <w:bottom w:val="nil"/>
          <w:right w:val="nil"/>
          <w:between w:val="nil"/>
        </w:pBdr>
      </w:pPr>
      <w:r>
        <w:rPr>
          <w:color w:val="000000"/>
        </w:rPr>
        <w:t>Social/emotional issues</w:t>
      </w:r>
    </w:p>
    <w:p w14:paraId="2FECD522" w14:textId="77777777" w:rsidR="000E163C" w:rsidRDefault="00444266">
      <w:pPr>
        <w:numPr>
          <w:ilvl w:val="0"/>
          <w:numId w:val="2"/>
        </w:numPr>
        <w:pBdr>
          <w:top w:val="nil"/>
          <w:left w:val="nil"/>
          <w:bottom w:val="nil"/>
          <w:right w:val="nil"/>
          <w:between w:val="nil"/>
        </w:pBdr>
      </w:pPr>
      <w:r>
        <w:rPr>
          <w:color w:val="000000"/>
        </w:rPr>
        <w:t xml:space="preserve">High numbers of learning support students. This year, 19% of English </w:t>
      </w:r>
      <w:r>
        <w:t>M</w:t>
      </w:r>
      <w:r>
        <w:rPr>
          <w:color w:val="000000"/>
        </w:rPr>
        <w:t xml:space="preserve">edium students qualify to receive </w:t>
      </w:r>
      <w:proofErr w:type="spellStart"/>
      <w:r>
        <w:rPr>
          <w:color w:val="000000"/>
        </w:rPr>
        <w:t>MoE</w:t>
      </w:r>
      <w:proofErr w:type="spellEnd"/>
      <w:r>
        <w:rPr>
          <w:color w:val="000000"/>
        </w:rPr>
        <w:t xml:space="preserve"> funding for some form of assistance due to extra learning needs. This includes 15 ESOL students. </w:t>
      </w:r>
    </w:p>
    <w:p w14:paraId="0A0F76B6" w14:textId="77777777" w:rsidR="000E163C" w:rsidRDefault="000E163C"/>
    <w:p w14:paraId="42F1C79B" w14:textId="77777777" w:rsidR="000E163C" w:rsidRDefault="00444266">
      <w:pPr>
        <w:rPr>
          <w:b/>
        </w:rPr>
      </w:pPr>
      <w:r>
        <w:rPr>
          <w:b/>
        </w:rPr>
        <w:t>ETHNICITY</w:t>
      </w:r>
    </w:p>
    <w:p w14:paraId="508356D4" w14:textId="77777777" w:rsidR="000E163C" w:rsidRDefault="000E163C">
      <w:pPr>
        <w:rPr>
          <w:b/>
        </w:rPr>
      </w:pPr>
    </w:p>
    <w:p w14:paraId="750B65D8" w14:textId="65360D32" w:rsidR="000E163C" w:rsidRDefault="00444266">
      <w:pPr>
        <w:rPr>
          <w:b/>
        </w:rPr>
      </w:pPr>
      <w:r>
        <w:rPr>
          <w:b/>
        </w:rPr>
        <w:t>Māori students:</w:t>
      </w:r>
    </w:p>
    <w:tbl>
      <w:tblPr>
        <w:tblStyle w:val="a1"/>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77"/>
        <w:gridCol w:w="1677"/>
        <w:gridCol w:w="1677"/>
        <w:gridCol w:w="1678"/>
        <w:gridCol w:w="1678"/>
        <w:gridCol w:w="1678"/>
      </w:tblGrid>
      <w:tr w:rsidR="000E163C" w14:paraId="0CFB4BB5" w14:textId="77777777" w:rsidTr="00476847">
        <w:trPr>
          <w:trHeight w:val="308"/>
        </w:trPr>
        <w:tc>
          <w:tcPr>
            <w:tcW w:w="3354" w:type="dxa"/>
            <w:gridSpan w:val="2"/>
            <w:shd w:val="clear" w:color="auto" w:fill="auto"/>
            <w:tcMar>
              <w:top w:w="100" w:type="dxa"/>
              <w:left w:w="100" w:type="dxa"/>
              <w:bottom w:w="100" w:type="dxa"/>
              <w:right w:w="100" w:type="dxa"/>
            </w:tcMar>
          </w:tcPr>
          <w:p w14:paraId="514F00D6" w14:textId="77777777" w:rsidR="000E163C" w:rsidRDefault="00444266">
            <w:pPr>
              <w:widowControl w:val="0"/>
              <w:pBdr>
                <w:top w:val="nil"/>
                <w:left w:val="nil"/>
                <w:bottom w:val="nil"/>
                <w:right w:val="nil"/>
                <w:between w:val="nil"/>
              </w:pBdr>
              <w:jc w:val="center"/>
              <w:rPr>
                <w:b/>
              </w:rPr>
            </w:pPr>
            <w:r>
              <w:rPr>
                <w:b/>
              </w:rPr>
              <w:t>READING</w:t>
            </w:r>
          </w:p>
        </w:tc>
        <w:tc>
          <w:tcPr>
            <w:tcW w:w="3354" w:type="dxa"/>
            <w:gridSpan w:val="2"/>
            <w:shd w:val="clear" w:color="auto" w:fill="auto"/>
            <w:tcMar>
              <w:top w:w="100" w:type="dxa"/>
              <w:left w:w="100" w:type="dxa"/>
              <w:bottom w:w="100" w:type="dxa"/>
              <w:right w:w="100" w:type="dxa"/>
            </w:tcMar>
          </w:tcPr>
          <w:p w14:paraId="5EDFE4D6" w14:textId="77777777" w:rsidR="000E163C" w:rsidRDefault="00444266">
            <w:pPr>
              <w:widowControl w:val="0"/>
              <w:jc w:val="center"/>
              <w:rPr>
                <w:b/>
              </w:rPr>
            </w:pPr>
            <w:r>
              <w:rPr>
                <w:b/>
              </w:rPr>
              <w:t>WRITING</w:t>
            </w:r>
          </w:p>
        </w:tc>
        <w:tc>
          <w:tcPr>
            <w:tcW w:w="3354" w:type="dxa"/>
            <w:gridSpan w:val="2"/>
            <w:shd w:val="clear" w:color="auto" w:fill="auto"/>
            <w:tcMar>
              <w:top w:w="100" w:type="dxa"/>
              <w:left w:w="100" w:type="dxa"/>
              <w:bottom w:w="100" w:type="dxa"/>
              <w:right w:w="100" w:type="dxa"/>
            </w:tcMar>
          </w:tcPr>
          <w:p w14:paraId="4E5AD071" w14:textId="77777777" w:rsidR="000E163C" w:rsidRDefault="00444266">
            <w:pPr>
              <w:widowControl w:val="0"/>
              <w:jc w:val="center"/>
              <w:rPr>
                <w:b/>
              </w:rPr>
            </w:pPr>
            <w:r>
              <w:rPr>
                <w:b/>
              </w:rPr>
              <w:t>MATHS</w:t>
            </w:r>
          </w:p>
        </w:tc>
      </w:tr>
      <w:tr w:rsidR="000E163C" w14:paraId="5635F1B7" w14:textId="77777777">
        <w:tc>
          <w:tcPr>
            <w:tcW w:w="1677" w:type="dxa"/>
            <w:shd w:val="clear" w:color="auto" w:fill="B6D7A8"/>
            <w:tcMar>
              <w:top w:w="100" w:type="dxa"/>
              <w:left w:w="100" w:type="dxa"/>
              <w:bottom w:w="100" w:type="dxa"/>
              <w:right w:w="100" w:type="dxa"/>
            </w:tcMar>
          </w:tcPr>
          <w:p w14:paraId="1F940B43" w14:textId="77777777" w:rsidR="000E163C" w:rsidRDefault="00444266">
            <w:pPr>
              <w:widowControl w:val="0"/>
              <w:pBdr>
                <w:top w:val="nil"/>
                <w:left w:val="nil"/>
                <w:bottom w:val="nil"/>
                <w:right w:val="nil"/>
                <w:between w:val="nil"/>
              </w:pBdr>
              <w:rPr>
                <w:b/>
                <w:sz w:val="20"/>
                <w:szCs w:val="20"/>
              </w:rPr>
            </w:pPr>
            <w:r>
              <w:rPr>
                <w:b/>
                <w:sz w:val="20"/>
                <w:szCs w:val="20"/>
              </w:rPr>
              <w:t>At or Above 2023</w:t>
            </w:r>
          </w:p>
        </w:tc>
        <w:tc>
          <w:tcPr>
            <w:tcW w:w="1677" w:type="dxa"/>
            <w:shd w:val="clear" w:color="auto" w:fill="D9EAD3"/>
            <w:tcMar>
              <w:top w:w="100" w:type="dxa"/>
              <w:left w:w="100" w:type="dxa"/>
              <w:bottom w:w="100" w:type="dxa"/>
              <w:right w:w="100" w:type="dxa"/>
            </w:tcMar>
          </w:tcPr>
          <w:p w14:paraId="0D80DF23" w14:textId="77777777" w:rsidR="000E163C" w:rsidRDefault="00444266">
            <w:pPr>
              <w:widowControl w:val="0"/>
              <w:pBdr>
                <w:top w:val="nil"/>
                <w:left w:val="nil"/>
                <w:bottom w:val="nil"/>
                <w:right w:val="nil"/>
                <w:between w:val="nil"/>
              </w:pBdr>
              <w:rPr>
                <w:b/>
                <w:sz w:val="20"/>
                <w:szCs w:val="20"/>
              </w:rPr>
            </w:pPr>
            <w:r>
              <w:rPr>
                <w:b/>
                <w:sz w:val="20"/>
                <w:szCs w:val="20"/>
              </w:rPr>
              <w:t>At or above 2022</w:t>
            </w:r>
          </w:p>
        </w:tc>
        <w:tc>
          <w:tcPr>
            <w:tcW w:w="1677" w:type="dxa"/>
            <w:shd w:val="clear" w:color="auto" w:fill="A4C2F4"/>
            <w:tcMar>
              <w:top w:w="100" w:type="dxa"/>
              <w:left w:w="100" w:type="dxa"/>
              <w:bottom w:w="100" w:type="dxa"/>
              <w:right w:w="100" w:type="dxa"/>
            </w:tcMar>
          </w:tcPr>
          <w:p w14:paraId="23FCF45E" w14:textId="77777777" w:rsidR="000E163C" w:rsidRDefault="00444266">
            <w:pPr>
              <w:widowControl w:val="0"/>
              <w:rPr>
                <w:b/>
                <w:sz w:val="20"/>
                <w:szCs w:val="20"/>
              </w:rPr>
            </w:pPr>
            <w:r>
              <w:rPr>
                <w:b/>
                <w:sz w:val="20"/>
                <w:szCs w:val="20"/>
              </w:rPr>
              <w:t>At or Above 2023</w:t>
            </w:r>
          </w:p>
        </w:tc>
        <w:tc>
          <w:tcPr>
            <w:tcW w:w="1677" w:type="dxa"/>
            <w:shd w:val="clear" w:color="auto" w:fill="C9DAF8"/>
            <w:tcMar>
              <w:top w:w="100" w:type="dxa"/>
              <w:left w:w="100" w:type="dxa"/>
              <w:bottom w:w="100" w:type="dxa"/>
              <w:right w:w="100" w:type="dxa"/>
            </w:tcMar>
          </w:tcPr>
          <w:p w14:paraId="3A378BE5" w14:textId="77777777" w:rsidR="000E163C" w:rsidRDefault="00444266">
            <w:pPr>
              <w:widowControl w:val="0"/>
              <w:rPr>
                <w:b/>
                <w:sz w:val="20"/>
                <w:szCs w:val="20"/>
              </w:rPr>
            </w:pPr>
            <w:r>
              <w:rPr>
                <w:b/>
                <w:sz w:val="20"/>
                <w:szCs w:val="20"/>
              </w:rPr>
              <w:t>At or above 2022</w:t>
            </w:r>
          </w:p>
        </w:tc>
        <w:tc>
          <w:tcPr>
            <w:tcW w:w="1677" w:type="dxa"/>
            <w:shd w:val="clear" w:color="auto" w:fill="F9CB9C"/>
            <w:tcMar>
              <w:top w:w="100" w:type="dxa"/>
              <w:left w:w="100" w:type="dxa"/>
              <w:bottom w:w="100" w:type="dxa"/>
              <w:right w:w="100" w:type="dxa"/>
            </w:tcMar>
          </w:tcPr>
          <w:p w14:paraId="7FFEB08C" w14:textId="77777777" w:rsidR="000E163C" w:rsidRDefault="00444266">
            <w:pPr>
              <w:widowControl w:val="0"/>
              <w:rPr>
                <w:b/>
                <w:sz w:val="20"/>
                <w:szCs w:val="20"/>
              </w:rPr>
            </w:pPr>
            <w:r>
              <w:rPr>
                <w:b/>
                <w:sz w:val="20"/>
                <w:szCs w:val="20"/>
              </w:rPr>
              <w:t>At or Above 2023</w:t>
            </w:r>
          </w:p>
        </w:tc>
        <w:tc>
          <w:tcPr>
            <w:tcW w:w="1677" w:type="dxa"/>
            <w:shd w:val="clear" w:color="auto" w:fill="FCE5CD"/>
            <w:tcMar>
              <w:top w:w="100" w:type="dxa"/>
              <w:left w:w="100" w:type="dxa"/>
              <w:bottom w:w="100" w:type="dxa"/>
              <w:right w:w="100" w:type="dxa"/>
            </w:tcMar>
          </w:tcPr>
          <w:p w14:paraId="68C7DB53" w14:textId="77777777" w:rsidR="000E163C" w:rsidRDefault="00444266">
            <w:pPr>
              <w:widowControl w:val="0"/>
              <w:rPr>
                <w:b/>
                <w:sz w:val="20"/>
                <w:szCs w:val="20"/>
              </w:rPr>
            </w:pPr>
            <w:r>
              <w:rPr>
                <w:b/>
                <w:sz w:val="20"/>
                <w:szCs w:val="20"/>
              </w:rPr>
              <w:t>At or above 2022</w:t>
            </w:r>
          </w:p>
        </w:tc>
      </w:tr>
      <w:tr w:rsidR="000E163C" w14:paraId="00271C3D" w14:textId="77777777">
        <w:tc>
          <w:tcPr>
            <w:tcW w:w="1677" w:type="dxa"/>
            <w:shd w:val="clear" w:color="auto" w:fill="B6D7A8"/>
            <w:tcMar>
              <w:top w:w="100" w:type="dxa"/>
              <w:left w:w="100" w:type="dxa"/>
              <w:bottom w:w="100" w:type="dxa"/>
              <w:right w:w="100" w:type="dxa"/>
            </w:tcMar>
          </w:tcPr>
          <w:p w14:paraId="6E86EF44" w14:textId="77777777" w:rsidR="000E163C" w:rsidRDefault="00444266">
            <w:pPr>
              <w:widowControl w:val="0"/>
              <w:pBdr>
                <w:top w:val="nil"/>
                <w:left w:val="nil"/>
                <w:bottom w:val="nil"/>
                <w:right w:val="nil"/>
                <w:between w:val="nil"/>
              </w:pBdr>
            </w:pPr>
            <w:r>
              <w:t>7/10 (70%)</w:t>
            </w:r>
          </w:p>
        </w:tc>
        <w:tc>
          <w:tcPr>
            <w:tcW w:w="1677" w:type="dxa"/>
            <w:shd w:val="clear" w:color="auto" w:fill="D9EAD3"/>
            <w:tcMar>
              <w:top w:w="100" w:type="dxa"/>
              <w:left w:w="100" w:type="dxa"/>
              <w:bottom w:w="100" w:type="dxa"/>
              <w:right w:w="100" w:type="dxa"/>
            </w:tcMar>
          </w:tcPr>
          <w:p w14:paraId="4995F239" w14:textId="77777777" w:rsidR="000E163C" w:rsidRDefault="00444266">
            <w:pPr>
              <w:widowControl w:val="0"/>
              <w:pBdr>
                <w:top w:val="nil"/>
                <w:left w:val="nil"/>
                <w:bottom w:val="nil"/>
                <w:right w:val="nil"/>
                <w:between w:val="nil"/>
              </w:pBdr>
            </w:pPr>
            <w:r>
              <w:t>5/12 (41%)</w:t>
            </w:r>
          </w:p>
        </w:tc>
        <w:tc>
          <w:tcPr>
            <w:tcW w:w="1677" w:type="dxa"/>
            <w:shd w:val="clear" w:color="auto" w:fill="A4C2F4"/>
            <w:tcMar>
              <w:top w:w="100" w:type="dxa"/>
              <w:left w:w="100" w:type="dxa"/>
              <w:bottom w:w="100" w:type="dxa"/>
              <w:right w:w="100" w:type="dxa"/>
            </w:tcMar>
          </w:tcPr>
          <w:p w14:paraId="187A4B8D" w14:textId="77777777" w:rsidR="000E163C" w:rsidRDefault="00444266">
            <w:pPr>
              <w:widowControl w:val="0"/>
              <w:pBdr>
                <w:top w:val="nil"/>
                <w:left w:val="nil"/>
                <w:bottom w:val="nil"/>
                <w:right w:val="nil"/>
                <w:between w:val="nil"/>
              </w:pBdr>
            </w:pPr>
            <w:r>
              <w:t>4/10 (40%)</w:t>
            </w:r>
          </w:p>
        </w:tc>
        <w:tc>
          <w:tcPr>
            <w:tcW w:w="1677" w:type="dxa"/>
            <w:shd w:val="clear" w:color="auto" w:fill="C9DAF8"/>
            <w:tcMar>
              <w:top w:w="100" w:type="dxa"/>
              <w:left w:w="100" w:type="dxa"/>
              <w:bottom w:w="100" w:type="dxa"/>
              <w:right w:w="100" w:type="dxa"/>
            </w:tcMar>
          </w:tcPr>
          <w:p w14:paraId="26B127B5" w14:textId="77777777" w:rsidR="000E163C" w:rsidRDefault="00444266">
            <w:pPr>
              <w:widowControl w:val="0"/>
              <w:pBdr>
                <w:top w:val="nil"/>
                <w:left w:val="nil"/>
                <w:bottom w:val="nil"/>
                <w:right w:val="nil"/>
                <w:between w:val="nil"/>
              </w:pBdr>
            </w:pPr>
            <w:r>
              <w:t>1/12 (8%)</w:t>
            </w:r>
          </w:p>
        </w:tc>
        <w:tc>
          <w:tcPr>
            <w:tcW w:w="1677" w:type="dxa"/>
            <w:shd w:val="clear" w:color="auto" w:fill="F9CB9C"/>
            <w:tcMar>
              <w:top w:w="100" w:type="dxa"/>
              <w:left w:w="100" w:type="dxa"/>
              <w:bottom w:w="100" w:type="dxa"/>
              <w:right w:w="100" w:type="dxa"/>
            </w:tcMar>
          </w:tcPr>
          <w:p w14:paraId="754D092B" w14:textId="77777777" w:rsidR="000E163C" w:rsidRDefault="00444266">
            <w:pPr>
              <w:widowControl w:val="0"/>
              <w:pBdr>
                <w:top w:val="nil"/>
                <w:left w:val="nil"/>
                <w:bottom w:val="nil"/>
                <w:right w:val="nil"/>
                <w:between w:val="nil"/>
              </w:pBdr>
            </w:pPr>
            <w:r>
              <w:t>5/10 (50%)</w:t>
            </w:r>
          </w:p>
        </w:tc>
        <w:tc>
          <w:tcPr>
            <w:tcW w:w="1677" w:type="dxa"/>
            <w:shd w:val="clear" w:color="auto" w:fill="FCE5CD"/>
            <w:tcMar>
              <w:top w:w="100" w:type="dxa"/>
              <w:left w:w="100" w:type="dxa"/>
              <w:bottom w:w="100" w:type="dxa"/>
              <w:right w:w="100" w:type="dxa"/>
            </w:tcMar>
          </w:tcPr>
          <w:p w14:paraId="27659C3A" w14:textId="77777777" w:rsidR="000E163C" w:rsidRDefault="00444266">
            <w:pPr>
              <w:widowControl w:val="0"/>
              <w:pBdr>
                <w:top w:val="nil"/>
                <w:left w:val="nil"/>
                <w:bottom w:val="nil"/>
                <w:right w:val="nil"/>
                <w:between w:val="nil"/>
              </w:pBdr>
            </w:pPr>
            <w:r>
              <w:t>3/12 (25%)</w:t>
            </w:r>
          </w:p>
        </w:tc>
      </w:tr>
    </w:tbl>
    <w:p w14:paraId="7773085A" w14:textId="77777777" w:rsidR="000E163C" w:rsidRDefault="000E163C">
      <w:pPr>
        <w:rPr>
          <w:b/>
        </w:rPr>
      </w:pPr>
    </w:p>
    <w:p w14:paraId="13146DBE" w14:textId="77777777" w:rsidR="000E163C" w:rsidRDefault="00444266">
      <w:pPr>
        <w:jc w:val="both"/>
      </w:pPr>
      <w:r>
        <w:t>I</w:t>
      </w:r>
      <w:r>
        <w:t xml:space="preserve">t is pleasing to see that Māori student achievement in reading is on par with overall achievement, and has improved in other areas, however this also demonstrates how quickly and dramatically results can shift with very small numbers. </w:t>
      </w:r>
    </w:p>
    <w:p w14:paraId="11C2DC6E" w14:textId="77777777" w:rsidR="000E163C" w:rsidRDefault="000E163C"/>
    <w:p w14:paraId="12FEF53A" w14:textId="65A5284E" w:rsidR="000E163C" w:rsidRDefault="00444266">
      <w:pPr>
        <w:rPr>
          <w:b/>
        </w:rPr>
      </w:pPr>
      <w:r>
        <w:rPr>
          <w:b/>
        </w:rPr>
        <w:t>Pacific Peoples St</w:t>
      </w:r>
      <w:r>
        <w:rPr>
          <w:b/>
        </w:rPr>
        <w:t>udents:</w:t>
      </w:r>
    </w:p>
    <w:tbl>
      <w:tblPr>
        <w:tblStyle w:val="a2"/>
        <w:tblW w:w="9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2"/>
        <w:gridCol w:w="1662"/>
        <w:gridCol w:w="1662"/>
        <w:gridCol w:w="1663"/>
        <w:gridCol w:w="1663"/>
        <w:gridCol w:w="1663"/>
      </w:tblGrid>
      <w:tr w:rsidR="000E163C" w14:paraId="693A6ABE" w14:textId="77777777" w:rsidTr="00476847">
        <w:trPr>
          <w:trHeight w:val="277"/>
        </w:trPr>
        <w:tc>
          <w:tcPr>
            <w:tcW w:w="3324" w:type="dxa"/>
            <w:gridSpan w:val="2"/>
            <w:shd w:val="clear" w:color="auto" w:fill="auto"/>
            <w:tcMar>
              <w:top w:w="100" w:type="dxa"/>
              <w:left w:w="100" w:type="dxa"/>
              <w:bottom w:w="100" w:type="dxa"/>
              <w:right w:w="100" w:type="dxa"/>
            </w:tcMar>
          </w:tcPr>
          <w:p w14:paraId="5A125AFB" w14:textId="77777777" w:rsidR="000E163C" w:rsidRDefault="00444266">
            <w:pPr>
              <w:widowControl w:val="0"/>
              <w:jc w:val="center"/>
              <w:rPr>
                <w:b/>
              </w:rPr>
            </w:pPr>
            <w:r>
              <w:rPr>
                <w:b/>
              </w:rPr>
              <w:t>READING</w:t>
            </w:r>
          </w:p>
        </w:tc>
        <w:tc>
          <w:tcPr>
            <w:tcW w:w="3324" w:type="dxa"/>
            <w:gridSpan w:val="2"/>
            <w:shd w:val="clear" w:color="auto" w:fill="auto"/>
            <w:tcMar>
              <w:top w:w="100" w:type="dxa"/>
              <w:left w:w="100" w:type="dxa"/>
              <w:bottom w:w="100" w:type="dxa"/>
              <w:right w:w="100" w:type="dxa"/>
            </w:tcMar>
          </w:tcPr>
          <w:p w14:paraId="0D392FC5" w14:textId="77777777" w:rsidR="000E163C" w:rsidRDefault="00444266">
            <w:pPr>
              <w:widowControl w:val="0"/>
              <w:jc w:val="center"/>
              <w:rPr>
                <w:b/>
              </w:rPr>
            </w:pPr>
            <w:r>
              <w:rPr>
                <w:b/>
              </w:rPr>
              <w:t>WRITING</w:t>
            </w:r>
          </w:p>
        </w:tc>
        <w:tc>
          <w:tcPr>
            <w:tcW w:w="3324" w:type="dxa"/>
            <w:gridSpan w:val="2"/>
            <w:shd w:val="clear" w:color="auto" w:fill="auto"/>
            <w:tcMar>
              <w:top w:w="100" w:type="dxa"/>
              <w:left w:w="100" w:type="dxa"/>
              <w:bottom w:w="100" w:type="dxa"/>
              <w:right w:w="100" w:type="dxa"/>
            </w:tcMar>
          </w:tcPr>
          <w:p w14:paraId="65EA5136" w14:textId="77777777" w:rsidR="000E163C" w:rsidRDefault="00444266">
            <w:pPr>
              <w:widowControl w:val="0"/>
              <w:jc w:val="center"/>
              <w:rPr>
                <w:b/>
              </w:rPr>
            </w:pPr>
            <w:r>
              <w:rPr>
                <w:b/>
              </w:rPr>
              <w:t>MATHS</w:t>
            </w:r>
          </w:p>
        </w:tc>
      </w:tr>
      <w:tr w:rsidR="000E163C" w14:paraId="76997882" w14:textId="77777777">
        <w:tc>
          <w:tcPr>
            <w:tcW w:w="1662" w:type="dxa"/>
            <w:shd w:val="clear" w:color="auto" w:fill="B6D7A8"/>
            <w:tcMar>
              <w:top w:w="100" w:type="dxa"/>
              <w:left w:w="100" w:type="dxa"/>
              <w:bottom w:w="100" w:type="dxa"/>
              <w:right w:w="100" w:type="dxa"/>
            </w:tcMar>
          </w:tcPr>
          <w:p w14:paraId="011DEAF8" w14:textId="77777777" w:rsidR="000E163C" w:rsidRDefault="00444266">
            <w:pPr>
              <w:widowControl w:val="0"/>
              <w:rPr>
                <w:b/>
                <w:sz w:val="20"/>
                <w:szCs w:val="20"/>
              </w:rPr>
            </w:pPr>
            <w:r>
              <w:rPr>
                <w:b/>
                <w:sz w:val="20"/>
                <w:szCs w:val="20"/>
              </w:rPr>
              <w:t>At or Above 2023</w:t>
            </w:r>
          </w:p>
        </w:tc>
        <w:tc>
          <w:tcPr>
            <w:tcW w:w="1662" w:type="dxa"/>
            <w:shd w:val="clear" w:color="auto" w:fill="D9EAD3"/>
            <w:tcMar>
              <w:top w:w="100" w:type="dxa"/>
              <w:left w:w="100" w:type="dxa"/>
              <w:bottom w:w="100" w:type="dxa"/>
              <w:right w:w="100" w:type="dxa"/>
            </w:tcMar>
          </w:tcPr>
          <w:p w14:paraId="73CBEDCE" w14:textId="77777777" w:rsidR="000E163C" w:rsidRDefault="00444266">
            <w:pPr>
              <w:widowControl w:val="0"/>
              <w:rPr>
                <w:b/>
                <w:sz w:val="20"/>
                <w:szCs w:val="20"/>
              </w:rPr>
            </w:pPr>
            <w:r>
              <w:rPr>
                <w:b/>
                <w:sz w:val="20"/>
                <w:szCs w:val="20"/>
              </w:rPr>
              <w:t>At or above 2022</w:t>
            </w:r>
          </w:p>
        </w:tc>
        <w:tc>
          <w:tcPr>
            <w:tcW w:w="1662" w:type="dxa"/>
            <w:shd w:val="clear" w:color="auto" w:fill="A4C2F4"/>
            <w:tcMar>
              <w:top w:w="100" w:type="dxa"/>
              <w:left w:w="100" w:type="dxa"/>
              <w:bottom w:w="100" w:type="dxa"/>
              <w:right w:w="100" w:type="dxa"/>
            </w:tcMar>
          </w:tcPr>
          <w:p w14:paraId="716EDD23" w14:textId="77777777" w:rsidR="000E163C" w:rsidRDefault="00444266">
            <w:pPr>
              <w:widowControl w:val="0"/>
              <w:rPr>
                <w:b/>
                <w:sz w:val="20"/>
                <w:szCs w:val="20"/>
              </w:rPr>
            </w:pPr>
            <w:r>
              <w:rPr>
                <w:b/>
                <w:sz w:val="20"/>
                <w:szCs w:val="20"/>
              </w:rPr>
              <w:t>At or Above 2023</w:t>
            </w:r>
          </w:p>
        </w:tc>
        <w:tc>
          <w:tcPr>
            <w:tcW w:w="1662" w:type="dxa"/>
            <w:shd w:val="clear" w:color="auto" w:fill="C9DAF8"/>
            <w:tcMar>
              <w:top w:w="100" w:type="dxa"/>
              <w:left w:w="100" w:type="dxa"/>
              <w:bottom w:w="100" w:type="dxa"/>
              <w:right w:w="100" w:type="dxa"/>
            </w:tcMar>
          </w:tcPr>
          <w:p w14:paraId="45268346" w14:textId="77777777" w:rsidR="000E163C" w:rsidRDefault="00444266">
            <w:pPr>
              <w:widowControl w:val="0"/>
              <w:rPr>
                <w:b/>
                <w:sz w:val="20"/>
                <w:szCs w:val="20"/>
              </w:rPr>
            </w:pPr>
            <w:r>
              <w:rPr>
                <w:b/>
                <w:sz w:val="20"/>
                <w:szCs w:val="20"/>
              </w:rPr>
              <w:t>At or above 2022</w:t>
            </w:r>
          </w:p>
        </w:tc>
        <w:tc>
          <w:tcPr>
            <w:tcW w:w="1662" w:type="dxa"/>
            <w:shd w:val="clear" w:color="auto" w:fill="F9CB9C"/>
            <w:tcMar>
              <w:top w:w="100" w:type="dxa"/>
              <w:left w:w="100" w:type="dxa"/>
              <w:bottom w:w="100" w:type="dxa"/>
              <w:right w:w="100" w:type="dxa"/>
            </w:tcMar>
          </w:tcPr>
          <w:p w14:paraId="7186DC22" w14:textId="77777777" w:rsidR="000E163C" w:rsidRDefault="00444266">
            <w:pPr>
              <w:widowControl w:val="0"/>
              <w:rPr>
                <w:b/>
                <w:sz w:val="20"/>
                <w:szCs w:val="20"/>
              </w:rPr>
            </w:pPr>
            <w:r>
              <w:rPr>
                <w:b/>
                <w:sz w:val="20"/>
                <w:szCs w:val="20"/>
              </w:rPr>
              <w:t>At or Above 2023</w:t>
            </w:r>
          </w:p>
        </w:tc>
        <w:tc>
          <w:tcPr>
            <w:tcW w:w="1662" w:type="dxa"/>
            <w:shd w:val="clear" w:color="auto" w:fill="FCE5CD"/>
            <w:tcMar>
              <w:top w:w="100" w:type="dxa"/>
              <w:left w:w="100" w:type="dxa"/>
              <w:bottom w:w="100" w:type="dxa"/>
              <w:right w:w="100" w:type="dxa"/>
            </w:tcMar>
          </w:tcPr>
          <w:p w14:paraId="5DB7FE09" w14:textId="77777777" w:rsidR="000E163C" w:rsidRDefault="00444266">
            <w:pPr>
              <w:widowControl w:val="0"/>
              <w:rPr>
                <w:b/>
                <w:sz w:val="20"/>
                <w:szCs w:val="20"/>
              </w:rPr>
            </w:pPr>
            <w:r>
              <w:rPr>
                <w:b/>
                <w:sz w:val="20"/>
                <w:szCs w:val="20"/>
              </w:rPr>
              <w:t>At or above 2022</w:t>
            </w:r>
          </w:p>
        </w:tc>
      </w:tr>
      <w:tr w:rsidR="000E163C" w14:paraId="39D6B680" w14:textId="77777777">
        <w:tc>
          <w:tcPr>
            <w:tcW w:w="1662" w:type="dxa"/>
            <w:shd w:val="clear" w:color="auto" w:fill="B6D7A8"/>
            <w:tcMar>
              <w:top w:w="100" w:type="dxa"/>
              <w:left w:w="100" w:type="dxa"/>
              <w:bottom w:w="100" w:type="dxa"/>
              <w:right w:w="100" w:type="dxa"/>
            </w:tcMar>
          </w:tcPr>
          <w:p w14:paraId="78B0F9E0" w14:textId="77777777" w:rsidR="000E163C" w:rsidRDefault="00444266">
            <w:pPr>
              <w:widowControl w:val="0"/>
            </w:pPr>
            <w:r>
              <w:t>2/7 (29%)</w:t>
            </w:r>
          </w:p>
        </w:tc>
        <w:tc>
          <w:tcPr>
            <w:tcW w:w="1662" w:type="dxa"/>
            <w:shd w:val="clear" w:color="auto" w:fill="D9EAD3"/>
            <w:tcMar>
              <w:top w:w="100" w:type="dxa"/>
              <w:left w:w="100" w:type="dxa"/>
              <w:bottom w:w="100" w:type="dxa"/>
              <w:right w:w="100" w:type="dxa"/>
            </w:tcMar>
          </w:tcPr>
          <w:p w14:paraId="386F00E2" w14:textId="77777777" w:rsidR="000E163C" w:rsidRDefault="00444266">
            <w:pPr>
              <w:widowControl w:val="0"/>
            </w:pPr>
            <w:r>
              <w:t>1/10 (10%)</w:t>
            </w:r>
          </w:p>
        </w:tc>
        <w:tc>
          <w:tcPr>
            <w:tcW w:w="1662" w:type="dxa"/>
            <w:shd w:val="clear" w:color="auto" w:fill="A4C2F4"/>
            <w:tcMar>
              <w:top w:w="100" w:type="dxa"/>
              <w:left w:w="100" w:type="dxa"/>
              <w:bottom w:w="100" w:type="dxa"/>
              <w:right w:w="100" w:type="dxa"/>
            </w:tcMar>
          </w:tcPr>
          <w:p w14:paraId="1581B758" w14:textId="77777777" w:rsidR="000E163C" w:rsidRDefault="00444266">
            <w:pPr>
              <w:widowControl w:val="0"/>
            </w:pPr>
            <w:r>
              <w:t>2/7 (29%)</w:t>
            </w:r>
          </w:p>
        </w:tc>
        <w:tc>
          <w:tcPr>
            <w:tcW w:w="1662" w:type="dxa"/>
            <w:shd w:val="clear" w:color="auto" w:fill="C9DAF8"/>
            <w:tcMar>
              <w:top w:w="100" w:type="dxa"/>
              <w:left w:w="100" w:type="dxa"/>
              <w:bottom w:w="100" w:type="dxa"/>
              <w:right w:w="100" w:type="dxa"/>
            </w:tcMar>
          </w:tcPr>
          <w:p w14:paraId="2C636B42" w14:textId="77777777" w:rsidR="000E163C" w:rsidRDefault="00444266">
            <w:pPr>
              <w:widowControl w:val="0"/>
            </w:pPr>
            <w:r>
              <w:t>2/10 (20%)</w:t>
            </w:r>
          </w:p>
        </w:tc>
        <w:tc>
          <w:tcPr>
            <w:tcW w:w="1662" w:type="dxa"/>
            <w:shd w:val="clear" w:color="auto" w:fill="F9CB9C"/>
            <w:tcMar>
              <w:top w:w="100" w:type="dxa"/>
              <w:left w:w="100" w:type="dxa"/>
              <w:bottom w:w="100" w:type="dxa"/>
              <w:right w:w="100" w:type="dxa"/>
            </w:tcMar>
          </w:tcPr>
          <w:p w14:paraId="7D1696F8" w14:textId="77777777" w:rsidR="000E163C" w:rsidRDefault="00444266">
            <w:pPr>
              <w:widowControl w:val="0"/>
            </w:pPr>
            <w:r>
              <w:t>5/10 (50%)</w:t>
            </w:r>
          </w:p>
        </w:tc>
        <w:tc>
          <w:tcPr>
            <w:tcW w:w="1662" w:type="dxa"/>
            <w:shd w:val="clear" w:color="auto" w:fill="FCE5CD"/>
            <w:tcMar>
              <w:top w:w="100" w:type="dxa"/>
              <w:left w:w="100" w:type="dxa"/>
              <w:bottom w:w="100" w:type="dxa"/>
              <w:right w:w="100" w:type="dxa"/>
            </w:tcMar>
          </w:tcPr>
          <w:p w14:paraId="66AA99AF" w14:textId="77777777" w:rsidR="000E163C" w:rsidRDefault="00444266">
            <w:pPr>
              <w:widowControl w:val="0"/>
            </w:pPr>
            <w:r>
              <w:t>1/10 (10%)</w:t>
            </w:r>
          </w:p>
        </w:tc>
      </w:tr>
    </w:tbl>
    <w:p w14:paraId="7D2423DD" w14:textId="77777777" w:rsidR="000E163C" w:rsidRDefault="000E163C"/>
    <w:p w14:paraId="6E80CD8B" w14:textId="77777777" w:rsidR="000E163C" w:rsidRDefault="00444266">
      <w:r>
        <w:t xml:space="preserve">Raising the achievement of Pacific People’s Students remains a focus.  </w:t>
      </w:r>
    </w:p>
    <w:p w14:paraId="5E5A3BDD" w14:textId="77777777" w:rsidR="000E163C" w:rsidRDefault="000E163C">
      <w:pPr>
        <w:rPr>
          <w:b/>
        </w:rPr>
      </w:pPr>
    </w:p>
    <w:p w14:paraId="2C54C68D" w14:textId="77777777" w:rsidR="000E163C" w:rsidRDefault="00444266">
      <w:pPr>
        <w:rPr>
          <w:b/>
          <w:sz w:val="28"/>
          <w:szCs w:val="28"/>
        </w:rPr>
      </w:pPr>
      <w:r>
        <w:rPr>
          <w:b/>
          <w:sz w:val="28"/>
          <w:szCs w:val="28"/>
        </w:rPr>
        <w:t>GENDER</w:t>
      </w:r>
    </w:p>
    <w:p w14:paraId="4B51CA0A" w14:textId="77777777" w:rsidR="000E163C" w:rsidRDefault="000E163C">
      <w:pPr>
        <w:rPr>
          <w:b/>
          <w:sz w:val="22"/>
          <w:szCs w:val="22"/>
        </w:rPr>
      </w:pPr>
    </w:p>
    <w:p w14:paraId="1BC0D207" w14:textId="77777777" w:rsidR="000E163C" w:rsidRDefault="00444266">
      <w:pPr>
        <w:rPr>
          <w:b/>
        </w:rPr>
      </w:pPr>
      <w:r>
        <w:rPr>
          <w:b/>
        </w:rPr>
        <w:t xml:space="preserve">Girls and Boys, at or above  </w:t>
      </w:r>
    </w:p>
    <w:tbl>
      <w:tblPr>
        <w:tblStyle w:val="a3"/>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1695"/>
        <w:gridCol w:w="1695"/>
        <w:gridCol w:w="1695"/>
        <w:gridCol w:w="1695"/>
        <w:gridCol w:w="1695"/>
      </w:tblGrid>
      <w:tr w:rsidR="000E163C" w14:paraId="22D8458E" w14:textId="77777777" w:rsidTr="00476847">
        <w:trPr>
          <w:trHeight w:val="253"/>
        </w:trPr>
        <w:tc>
          <w:tcPr>
            <w:tcW w:w="3390" w:type="dxa"/>
            <w:gridSpan w:val="2"/>
            <w:shd w:val="clear" w:color="auto" w:fill="auto"/>
            <w:tcMar>
              <w:top w:w="100" w:type="dxa"/>
              <w:left w:w="100" w:type="dxa"/>
              <w:bottom w:w="100" w:type="dxa"/>
              <w:right w:w="100" w:type="dxa"/>
            </w:tcMar>
          </w:tcPr>
          <w:p w14:paraId="4F461BB4" w14:textId="77777777" w:rsidR="000E163C" w:rsidRDefault="00444266">
            <w:pPr>
              <w:widowControl w:val="0"/>
              <w:jc w:val="center"/>
              <w:rPr>
                <w:b/>
              </w:rPr>
            </w:pPr>
            <w:r>
              <w:rPr>
                <w:b/>
              </w:rPr>
              <w:t>READING</w:t>
            </w:r>
          </w:p>
        </w:tc>
        <w:tc>
          <w:tcPr>
            <w:tcW w:w="3390" w:type="dxa"/>
            <w:gridSpan w:val="2"/>
            <w:shd w:val="clear" w:color="auto" w:fill="auto"/>
            <w:tcMar>
              <w:top w:w="100" w:type="dxa"/>
              <w:left w:w="100" w:type="dxa"/>
              <w:bottom w:w="100" w:type="dxa"/>
              <w:right w:w="100" w:type="dxa"/>
            </w:tcMar>
          </w:tcPr>
          <w:p w14:paraId="4FA194F7" w14:textId="77777777" w:rsidR="000E163C" w:rsidRDefault="00444266">
            <w:pPr>
              <w:widowControl w:val="0"/>
              <w:jc w:val="center"/>
              <w:rPr>
                <w:b/>
              </w:rPr>
            </w:pPr>
            <w:r>
              <w:rPr>
                <w:b/>
              </w:rPr>
              <w:t>WRITING</w:t>
            </w:r>
          </w:p>
        </w:tc>
        <w:tc>
          <w:tcPr>
            <w:tcW w:w="3390" w:type="dxa"/>
            <w:gridSpan w:val="2"/>
            <w:shd w:val="clear" w:color="auto" w:fill="auto"/>
            <w:tcMar>
              <w:top w:w="100" w:type="dxa"/>
              <w:left w:w="100" w:type="dxa"/>
              <w:bottom w:w="100" w:type="dxa"/>
              <w:right w:w="100" w:type="dxa"/>
            </w:tcMar>
          </w:tcPr>
          <w:p w14:paraId="04DCBA00" w14:textId="77777777" w:rsidR="000E163C" w:rsidRDefault="00444266">
            <w:pPr>
              <w:widowControl w:val="0"/>
              <w:jc w:val="center"/>
              <w:rPr>
                <w:b/>
              </w:rPr>
            </w:pPr>
            <w:r>
              <w:rPr>
                <w:b/>
              </w:rPr>
              <w:t>MATHS</w:t>
            </w:r>
          </w:p>
        </w:tc>
      </w:tr>
      <w:tr w:rsidR="000E163C" w14:paraId="31E8799C" w14:textId="77777777">
        <w:tc>
          <w:tcPr>
            <w:tcW w:w="1695" w:type="dxa"/>
            <w:shd w:val="clear" w:color="auto" w:fill="B6D7A8"/>
            <w:tcMar>
              <w:top w:w="100" w:type="dxa"/>
              <w:left w:w="100" w:type="dxa"/>
              <w:bottom w:w="100" w:type="dxa"/>
              <w:right w:w="100" w:type="dxa"/>
            </w:tcMar>
          </w:tcPr>
          <w:p w14:paraId="5DF10ADC" w14:textId="77777777" w:rsidR="000E163C" w:rsidRDefault="00444266">
            <w:pPr>
              <w:widowControl w:val="0"/>
              <w:rPr>
                <w:b/>
                <w:sz w:val="20"/>
                <w:szCs w:val="20"/>
              </w:rPr>
            </w:pPr>
            <w:r>
              <w:rPr>
                <w:b/>
                <w:sz w:val="20"/>
                <w:szCs w:val="20"/>
              </w:rPr>
              <w:t>At or Above 2023</w:t>
            </w:r>
          </w:p>
        </w:tc>
        <w:tc>
          <w:tcPr>
            <w:tcW w:w="1695" w:type="dxa"/>
            <w:shd w:val="clear" w:color="auto" w:fill="D9EAD3"/>
            <w:tcMar>
              <w:top w:w="100" w:type="dxa"/>
              <w:left w:w="100" w:type="dxa"/>
              <w:bottom w:w="100" w:type="dxa"/>
              <w:right w:w="100" w:type="dxa"/>
            </w:tcMar>
          </w:tcPr>
          <w:p w14:paraId="033A958F" w14:textId="77777777" w:rsidR="000E163C" w:rsidRDefault="00444266">
            <w:pPr>
              <w:widowControl w:val="0"/>
              <w:rPr>
                <w:b/>
                <w:sz w:val="20"/>
                <w:szCs w:val="20"/>
              </w:rPr>
            </w:pPr>
            <w:r>
              <w:rPr>
                <w:b/>
                <w:sz w:val="20"/>
                <w:szCs w:val="20"/>
              </w:rPr>
              <w:t>At or above 2022</w:t>
            </w:r>
          </w:p>
        </w:tc>
        <w:tc>
          <w:tcPr>
            <w:tcW w:w="1695" w:type="dxa"/>
            <w:shd w:val="clear" w:color="auto" w:fill="A4C2F4"/>
            <w:tcMar>
              <w:top w:w="100" w:type="dxa"/>
              <w:left w:w="100" w:type="dxa"/>
              <w:bottom w:w="100" w:type="dxa"/>
              <w:right w:w="100" w:type="dxa"/>
            </w:tcMar>
          </w:tcPr>
          <w:p w14:paraId="7988372F" w14:textId="77777777" w:rsidR="000E163C" w:rsidRDefault="00444266">
            <w:pPr>
              <w:widowControl w:val="0"/>
              <w:rPr>
                <w:b/>
                <w:sz w:val="20"/>
                <w:szCs w:val="20"/>
              </w:rPr>
            </w:pPr>
            <w:r>
              <w:rPr>
                <w:b/>
                <w:sz w:val="20"/>
                <w:szCs w:val="20"/>
              </w:rPr>
              <w:t>At or Above 2023</w:t>
            </w:r>
          </w:p>
        </w:tc>
        <w:tc>
          <w:tcPr>
            <w:tcW w:w="1695" w:type="dxa"/>
            <w:shd w:val="clear" w:color="auto" w:fill="C9DAF8"/>
            <w:tcMar>
              <w:top w:w="100" w:type="dxa"/>
              <w:left w:w="100" w:type="dxa"/>
              <w:bottom w:w="100" w:type="dxa"/>
              <w:right w:w="100" w:type="dxa"/>
            </w:tcMar>
          </w:tcPr>
          <w:p w14:paraId="79B9F4AB" w14:textId="77777777" w:rsidR="000E163C" w:rsidRDefault="00444266">
            <w:pPr>
              <w:widowControl w:val="0"/>
              <w:rPr>
                <w:b/>
                <w:sz w:val="20"/>
                <w:szCs w:val="20"/>
              </w:rPr>
            </w:pPr>
            <w:r>
              <w:rPr>
                <w:b/>
                <w:sz w:val="20"/>
                <w:szCs w:val="20"/>
              </w:rPr>
              <w:t>At or above 2022</w:t>
            </w:r>
          </w:p>
        </w:tc>
        <w:tc>
          <w:tcPr>
            <w:tcW w:w="1695" w:type="dxa"/>
            <w:shd w:val="clear" w:color="auto" w:fill="F9CB9C"/>
            <w:tcMar>
              <w:top w:w="100" w:type="dxa"/>
              <w:left w:w="100" w:type="dxa"/>
              <w:bottom w:w="100" w:type="dxa"/>
              <w:right w:w="100" w:type="dxa"/>
            </w:tcMar>
          </w:tcPr>
          <w:p w14:paraId="6DEC38EF" w14:textId="77777777" w:rsidR="000E163C" w:rsidRDefault="00444266">
            <w:pPr>
              <w:widowControl w:val="0"/>
              <w:rPr>
                <w:b/>
                <w:sz w:val="20"/>
                <w:szCs w:val="20"/>
              </w:rPr>
            </w:pPr>
            <w:r>
              <w:rPr>
                <w:b/>
                <w:sz w:val="20"/>
                <w:szCs w:val="20"/>
              </w:rPr>
              <w:t>At or Above 2023</w:t>
            </w:r>
          </w:p>
        </w:tc>
        <w:tc>
          <w:tcPr>
            <w:tcW w:w="1695" w:type="dxa"/>
            <w:shd w:val="clear" w:color="auto" w:fill="FCE5CD"/>
            <w:tcMar>
              <w:top w:w="100" w:type="dxa"/>
              <w:left w:w="100" w:type="dxa"/>
              <w:bottom w:w="100" w:type="dxa"/>
              <w:right w:w="100" w:type="dxa"/>
            </w:tcMar>
          </w:tcPr>
          <w:p w14:paraId="1A51098F" w14:textId="77777777" w:rsidR="000E163C" w:rsidRDefault="00444266">
            <w:pPr>
              <w:widowControl w:val="0"/>
              <w:rPr>
                <w:b/>
                <w:sz w:val="20"/>
                <w:szCs w:val="20"/>
              </w:rPr>
            </w:pPr>
            <w:r>
              <w:rPr>
                <w:b/>
                <w:sz w:val="20"/>
                <w:szCs w:val="20"/>
              </w:rPr>
              <w:t>At or above 2022</w:t>
            </w:r>
          </w:p>
        </w:tc>
      </w:tr>
      <w:tr w:rsidR="000E163C" w14:paraId="64C923BC" w14:textId="77777777">
        <w:tc>
          <w:tcPr>
            <w:tcW w:w="1695" w:type="dxa"/>
            <w:shd w:val="clear" w:color="auto" w:fill="B6D7A8"/>
            <w:tcMar>
              <w:top w:w="100" w:type="dxa"/>
              <w:left w:w="100" w:type="dxa"/>
              <w:bottom w:w="100" w:type="dxa"/>
              <w:right w:w="100" w:type="dxa"/>
            </w:tcMar>
          </w:tcPr>
          <w:p w14:paraId="3E8E142A" w14:textId="77777777" w:rsidR="000E163C" w:rsidRDefault="00444266">
            <w:pPr>
              <w:widowControl w:val="0"/>
            </w:pPr>
            <w:r>
              <w:rPr>
                <w:b/>
              </w:rPr>
              <w:t>G:</w:t>
            </w:r>
            <w:r>
              <w:t xml:space="preserve">  78%</w:t>
            </w:r>
          </w:p>
        </w:tc>
        <w:tc>
          <w:tcPr>
            <w:tcW w:w="1695" w:type="dxa"/>
            <w:shd w:val="clear" w:color="auto" w:fill="D9EAD3"/>
            <w:tcMar>
              <w:top w:w="100" w:type="dxa"/>
              <w:left w:w="100" w:type="dxa"/>
              <w:bottom w:w="100" w:type="dxa"/>
              <w:right w:w="100" w:type="dxa"/>
            </w:tcMar>
          </w:tcPr>
          <w:p w14:paraId="6BA85577" w14:textId="77777777" w:rsidR="000E163C" w:rsidRDefault="00444266">
            <w:pPr>
              <w:widowControl w:val="0"/>
            </w:pPr>
            <w:r>
              <w:t>71%</w:t>
            </w:r>
          </w:p>
        </w:tc>
        <w:tc>
          <w:tcPr>
            <w:tcW w:w="1695" w:type="dxa"/>
            <w:shd w:val="clear" w:color="auto" w:fill="A4C2F4"/>
            <w:tcMar>
              <w:top w:w="100" w:type="dxa"/>
              <w:left w:w="100" w:type="dxa"/>
              <w:bottom w:w="100" w:type="dxa"/>
              <w:right w:w="100" w:type="dxa"/>
            </w:tcMar>
          </w:tcPr>
          <w:p w14:paraId="33E397A3" w14:textId="77777777" w:rsidR="000E163C" w:rsidRDefault="00444266">
            <w:pPr>
              <w:widowControl w:val="0"/>
            </w:pPr>
            <w:r>
              <w:rPr>
                <w:b/>
              </w:rPr>
              <w:t>G:</w:t>
            </w:r>
            <w:r>
              <w:t xml:space="preserve"> 63%</w:t>
            </w:r>
          </w:p>
        </w:tc>
        <w:tc>
          <w:tcPr>
            <w:tcW w:w="1695" w:type="dxa"/>
            <w:shd w:val="clear" w:color="auto" w:fill="C9DAF8"/>
            <w:tcMar>
              <w:top w:w="100" w:type="dxa"/>
              <w:left w:w="100" w:type="dxa"/>
              <w:bottom w:w="100" w:type="dxa"/>
              <w:right w:w="100" w:type="dxa"/>
            </w:tcMar>
          </w:tcPr>
          <w:p w14:paraId="3D3D2726" w14:textId="77777777" w:rsidR="000E163C" w:rsidRDefault="00444266">
            <w:pPr>
              <w:widowControl w:val="0"/>
            </w:pPr>
            <w:r>
              <w:t>59%</w:t>
            </w:r>
          </w:p>
        </w:tc>
        <w:tc>
          <w:tcPr>
            <w:tcW w:w="1695" w:type="dxa"/>
            <w:shd w:val="clear" w:color="auto" w:fill="F9CB9C"/>
            <w:tcMar>
              <w:top w:w="100" w:type="dxa"/>
              <w:left w:w="100" w:type="dxa"/>
              <w:bottom w:w="100" w:type="dxa"/>
              <w:right w:w="100" w:type="dxa"/>
            </w:tcMar>
          </w:tcPr>
          <w:p w14:paraId="6E13BBF6" w14:textId="77777777" w:rsidR="000E163C" w:rsidRDefault="00444266">
            <w:pPr>
              <w:widowControl w:val="0"/>
            </w:pPr>
            <w:r>
              <w:rPr>
                <w:b/>
              </w:rPr>
              <w:t>G:</w:t>
            </w:r>
            <w:r>
              <w:t xml:space="preserve"> 64%</w:t>
            </w:r>
          </w:p>
        </w:tc>
        <w:tc>
          <w:tcPr>
            <w:tcW w:w="1695" w:type="dxa"/>
            <w:shd w:val="clear" w:color="auto" w:fill="FCE5CD"/>
            <w:tcMar>
              <w:top w:w="100" w:type="dxa"/>
              <w:left w:w="100" w:type="dxa"/>
              <w:bottom w:w="100" w:type="dxa"/>
              <w:right w:w="100" w:type="dxa"/>
            </w:tcMar>
          </w:tcPr>
          <w:p w14:paraId="061EC06F" w14:textId="77777777" w:rsidR="000E163C" w:rsidRDefault="00444266">
            <w:pPr>
              <w:widowControl w:val="0"/>
            </w:pPr>
            <w:r>
              <w:t>61%</w:t>
            </w:r>
          </w:p>
        </w:tc>
      </w:tr>
      <w:tr w:rsidR="000E163C" w14:paraId="710CDDEB" w14:textId="77777777">
        <w:trPr>
          <w:trHeight w:val="555"/>
        </w:trPr>
        <w:tc>
          <w:tcPr>
            <w:tcW w:w="1695" w:type="dxa"/>
            <w:shd w:val="clear" w:color="auto" w:fill="B6D7A8"/>
            <w:tcMar>
              <w:top w:w="100" w:type="dxa"/>
              <w:left w:w="100" w:type="dxa"/>
              <w:bottom w:w="100" w:type="dxa"/>
              <w:right w:w="100" w:type="dxa"/>
            </w:tcMar>
          </w:tcPr>
          <w:p w14:paraId="136CD318" w14:textId="77777777" w:rsidR="000E163C" w:rsidRDefault="00444266">
            <w:pPr>
              <w:widowControl w:val="0"/>
            </w:pPr>
            <w:r>
              <w:rPr>
                <w:b/>
              </w:rPr>
              <w:t xml:space="preserve">B:  </w:t>
            </w:r>
            <w:r>
              <w:t>67%</w:t>
            </w:r>
          </w:p>
        </w:tc>
        <w:tc>
          <w:tcPr>
            <w:tcW w:w="1695" w:type="dxa"/>
            <w:shd w:val="clear" w:color="auto" w:fill="D9EAD3"/>
            <w:tcMar>
              <w:top w:w="100" w:type="dxa"/>
              <w:left w:w="100" w:type="dxa"/>
              <w:bottom w:w="100" w:type="dxa"/>
              <w:right w:w="100" w:type="dxa"/>
            </w:tcMar>
          </w:tcPr>
          <w:p w14:paraId="50EAF37E" w14:textId="77777777" w:rsidR="000E163C" w:rsidRDefault="00444266">
            <w:pPr>
              <w:widowControl w:val="0"/>
            </w:pPr>
            <w:r>
              <w:t>72%</w:t>
            </w:r>
          </w:p>
        </w:tc>
        <w:tc>
          <w:tcPr>
            <w:tcW w:w="1695" w:type="dxa"/>
            <w:shd w:val="clear" w:color="auto" w:fill="A4C2F4"/>
            <w:tcMar>
              <w:top w:w="100" w:type="dxa"/>
              <w:left w:w="100" w:type="dxa"/>
              <w:bottom w:w="100" w:type="dxa"/>
              <w:right w:w="100" w:type="dxa"/>
            </w:tcMar>
          </w:tcPr>
          <w:p w14:paraId="608C1651" w14:textId="77777777" w:rsidR="000E163C" w:rsidRDefault="00444266">
            <w:pPr>
              <w:widowControl w:val="0"/>
            </w:pPr>
            <w:r>
              <w:rPr>
                <w:b/>
              </w:rPr>
              <w:t xml:space="preserve">B: </w:t>
            </w:r>
            <w:r>
              <w:t>43%</w:t>
            </w:r>
          </w:p>
        </w:tc>
        <w:tc>
          <w:tcPr>
            <w:tcW w:w="1695" w:type="dxa"/>
            <w:shd w:val="clear" w:color="auto" w:fill="C9DAF8"/>
            <w:tcMar>
              <w:top w:w="100" w:type="dxa"/>
              <w:left w:w="100" w:type="dxa"/>
              <w:bottom w:w="100" w:type="dxa"/>
              <w:right w:w="100" w:type="dxa"/>
            </w:tcMar>
          </w:tcPr>
          <w:p w14:paraId="794110B1" w14:textId="77777777" w:rsidR="000E163C" w:rsidRDefault="00444266">
            <w:pPr>
              <w:widowControl w:val="0"/>
            </w:pPr>
            <w:r>
              <w:t>58%</w:t>
            </w:r>
          </w:p>
        </w:tc>
        <w:tc>
          <w:tcPr>
            <w:tcW w:w="1695" w:type="dxa"/>
            <w:shd w:val="clear" w:color="auto" w:fill="F9CB9C"/>
            <w:tcMar>
              <w:top w:w="100" w:type="dxa"/>
              <w:left w:w="100" w:type="dxa"/>
              <w:bottom w:w="100" w:type="dxa"/>
              <w:right w:w="100" w:type="dxa"/>
            </w:tcMar>
          </w:tcPr>
          <w:p w14:paraId="502A4C63" w14:textId="77777777" w:rsidR="000E163C" w:rsidRDefault="00444266">
            <w:pPr>
              <w:widowControl w:val="0"/>
            </w:pPr>
            <w:r>
              <w:rPr>
                <w:b/>
              </w:rPr>
              <w:t xml:space="preserve">B: </w:t>
            </w:r>
            <w:r>
              <w:t>59%</w:t>
            </w:r>
          </w:p>
        </w:tc>
        <w:tc>
          <w:tcPr>
            <w:tcW w:w="1695" w:type="dxa"/>
            <w:shd w:val="clear" w:color="auto" w:fill="FCE5CD"/>
            <w:tcMar>
              <w:top w:w="100" w:type="dxa"/>
              <w:left w:w="100" w:type="dxa"/>
              <w:bottom w:w="100" w:type="dxa"/>
              <w:right w:w="100" w:type="dxa"/>
            </w:tcMar>
          </w:tcPr>
          <w:p w14:paraId="01C15600" w14:textId="77777777" w:rsidR="000E163C" w:rsidRDefault="00444266">
            <w:pPr>
              <w:widowControl w:val="0"/>
            </w:pPr>
            <w:r>
              <w:t>68%</w:t>
            </w:r>
          </w:p>
        </w:tc>
      </w:tr>
    </w:tbl>
    <w:p w14:paraId="15AA68C0" w14:textId="77777777" w:rsidR="000E163C" w:rsidRDefault="000E163C">
      <w:pPr>
        <w:rPr>
          <w:b/>
        </w:rPr>
      </w:pPr>
    </w:p>
    <w:p w14:paraId="45815934" w14:textId="77777777" w:rsidR="000E163C" w:rsidRDefault="00444266">
      <w:pPr>
        <w:jc w:val="both"/>
      </w:pPr>
      <w:r>
        <w:t>In 2023, more girls are achieving</w:t>
      </w:r>
      <w:r>
        <w:rPr>
          <w:i/>
        </w:rPr>
        <w:t xml:space="preserve"> at or above </w:t>
      </w:r>
      <w:r>
        <w:t xml:space="preserve">expectation than boys, compared to last year. Girls have not usually outperformed boys in mathematics. At </w:t>
      </w:r>
      <w:proofErr w:type="spellStart"/>
      <w:r>
        <w:t>Otari</w:t>
      </w:r>
      <w:proofErr w:type="spellEnd"/>
      <w:r>
        <w:t xml:space="preserve"> School we have often seen little difference in reading achievement between boys and girls, and the 11% difference this year equates to 6 girls, </w:t>
      </w:r>
      <w:r>
        <w:t xml:space="preserve">therefore again, perspective and context are important with these numbers.  </w:t>
      </w:r>
    </w:p>
    <w:p w14:paraId="0E47F65C" w14:textId="77777777" w:rsidR="000E163C" w:rsidRDefault="000E163C">
      <w:pPr>
        <w:jc w:val="both"/>
      </w:pPr>
    </w:p>
    <w:p w14:paraId="79C2F26C" w14:textId="77777777" w:rsidR="000E163C" w:rsidRDefault="00444266">
      <w:pPr>
        <w:jc w:val="both"/>
      </w:pPr>
      <w:r>
        <w:t>The writing shows quite a discrepancy between boys and girls and is definitely something we are working hard to change.</w:t>
      </w:r>
    </w:p>
    <w:p w14:paraId="46DB129E" w14:textId="77777777" w:rsidR="000E163C" w:rsidRDefault="000E163C"/>
    <w:p w14:paraId="2B7A17E6" w14:textId="77777777" w:rsidR="00444266" w:rsidRDefault="00444266">
      <w:pPr>
        <w:rPr>
          <w:b/>
          <w:sz w:val="28"/>
          <w:szCs w:val="28"/>
        </w:rPr>
      </w:pPr>
    </w:p>
    <w:p w14:paraId="312B91C3" w14:textId="16A0A22B" w:rsidR="000E163C" w:rsidRDefault="00444266">
      <w:pPr>
        <w:rPr>
          <w:b/>
          <w:sz w:val="28"/>
          <w:szCs w:val="28"/>
        </w:rPr>
      </w:pPr>
      <w:r>
        <w:rPr>
          <w:b/>
          <w:sz w:val="28"/>
          <w:szCs w:val="28"/>
        </w:rPr>
        <w:lastRenderedPageBreak/>
        <w:t>YEAR LEVELS:</w:t>
      </w:r>
    </w:p>
    <w:p w14:paraId="6F83B855" w14:textId="77777777" w:rsidR="000E163C" w:rsidRDefault="000E163C">
      <w:pPr>
        <w:rPr>
          <w:sz w:val="22"/>
          <w:szCs w:val="22"/>
        </w:rPr>
      </w:pPr>
    </w:p>
    <w:p w14:paraId="2B43948F" w14:textId="77777777" w:rsidR="000E163C" w:rsidRDefault="00444266">
      <w:pPr>
        <w:rPr>
          <w:sz w:val="28"/>
          <w:szCs w:val="28"/>
        </w:rPr>
      </w:pPr>
      <w:r>
        <w:rPr>
          <w:sz w:val="28"/>
          <w:szCs w:val="28"/>
        </w:rPr>
        <w:t xml:space="preserve">Percentage of students </w:t>
      </w:r>
      <w:r>
        <w:rPr>
          <w:i/>
          <w:sz w:val="28"/>
          <w:szCs w:val="28"/>
        </w:rPr>
        <w:t>at or above</w:t>
      </w:r>
      <w:r>
        <w:rPr>
          <w:sz w:val="28"/>
          <w:szCs w:val="28"/>
        </w:rPr>
        <w:t xml:space="preserve"> expecta</w:t>
      </w:r>
      <w:r>
        <w:rPr>
          <w:sz w:val="28"/>
          <w:szCs w:val="28"/>
        </w:rPr>
        <w:t xml:space="preserve">tion in each year level from year 2 </w:t>
      </w:r>
    </w:p>
    <w:tbl>
      <w:tblPr>
        <w:tblStyle w:val="a4"/>
        <w:tblW w:w="100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2"/>
        <w:gridCol w:w="1226"/>
        <w:gridCol w:w="1226"/>
        <w:gridCol w:w="1225"/>
        <w:gridCol w:w="1225"/>
        <w:gridCol w:w="1225"/>
        <w:gridCol w:w="1225"/>
        <w:gridCol w:w="1225"/>
      </w:tblGrid>
      <w:tr w:rsidR="000E163C" w14:paraId="5847009A" w14:textId="77777777">
        <w:trPr>
          <w:trHeight w:val="555"/>
        </w:trPr>
        <w:tc>
          <w:tcPr>
            <w:tcW w:w="1470" w:type="dxa"/>
            <w:shd w:val="clear" w:color="auto" w:fill="auto"/>
            <w:tcMar>
              <w:top w:w="100" w:type="dxa"/>
              <w:left w:w="100" w:type="dxa"/>
              <w:bottom w:w="100" w:type="dxa"/>
              <w:right w:w="100" w:type="dxa"/>
            </w:tcMar>
          </w:tcPr>
          <w:p w14:paraId="5AA6F934" w14:textId="77777777" w:rsidR="000E163C" w:rsidRDefault="00444266">
            <w:pPr>
              <w:widowControl w:val="0"/>
              <w:pBdr>
                <w:top w:val="nil"/>
                <w:left w:val="nil"/>
                <w:bottom w:val="nil"/>
                <w:right w:val="nil"/>
                <w:between w:val="nil"/>
              </w:pBdr>
              <w:rPr>
                <w:sz w:val="20"/>
                <w:szCs w:val="20"/>
              </w:rPr>
            </w:pPr>
            <w:r>
              <w:rPr>
                <w:sz w:val="20"/>
                <w:szCs w:val="20"/>
              </w:rPr>
              <w:t>Year Level:</w:t>
            </w:r>
          </w:p>
        </w:tc>
        <w:tc>
          <w:tcPr>
            <w:tcW w:w="1225" w:type="dxa"/>
            <w:shd w:val="clear" w:color="auto" w:fill="auto"/>
            <w:tcMar>
              <w:top w:w="100" w:type="dxa"/>
              <w:left w:w="100" w:type="dxa"/>
              <w:bottom w:w="100" w:type="dxa"/>
              <w:right w:w="100" w:type="dxa"/>
            </w:tcMar>
          </w:tcPr>
          <w:p w14:paraId="52B33620" w14:textId="77777777" w:rsidR="000E163C" w:rsidRDefault="00444266">
            <w:pPr>
              <w:widowControl w:val="0"/>
              <w:pBdr>
                <w:top w:val="nil"/>
                <w:left w:val="nil"/>
                <w:bottom w:val="nil"/>
                <w:right w:val="nil"/>
                <w:between w:val="nil"/>
              </w:pBdr>
              <w:jc w:val="center"/>
              <w:rPr>
                <w:b/>
                <w:sz w:val="28"/>
                <w:szCs w:val="28"/>
              </w:rPr>
            </w:pPr>
            <w:r>
              <w:rPr>
                <w:b/>
                <w:sz w:val="28"/>
                <w:szCs w:val="28"/>
              </w:rPr>
              <w:t>Y2</w:t>
            </w:r>
          </w:p>
        </w:tc>
        <w:tc>
          <w:tcPr>
            <w:tcW w:w="1225" w:type="dxa"/>
            <w:shd w:val="clear" w:color="auto" w:fill="auto"/>
            <w:tcMar>
              <w:top w:w="100" w:type="dxa"/>
              <w:left w:w="100" w:type="dxa"/>
              <w:bottom w:w="100" w:type="dxa"/>
              <w:right w:w="100" w:type="dxa"/>
            </w:tcMar>
          </w:tcPr>
          <w:p w14:paraId="40305B97" w14:textId="77777777" w:rsidR="000E163C" w:rsidRDefault="00444266">
            <w:pPr>
              <w:widowControl w:val="0"/>
              <w:pBdr>
                <w:top w:val="nil"/>
                <w:left w:val="nil"/>
                <w:bottom w:val="nil"/>
                <w:right w:val="nil"/>
                <w:between w:val="nil"/>
              </w:pBdr>
              <w:jc w:val="center"/>
              <w:rPr>
                <w:b/>
                <w:sz w:val="28"/>
                <w:szCs w:val="28"/>
              </w:rPr>
            </w:pPr>
            <w:r>
              <w:rPr>
                <w:b/>
                <w:sz w:val="28"/>
                <w:szCs w:val="28"/>
              </w:rPr>
              <w:t>Y3</w:t>
            </w:r>
          </w:p>
        </w:tc>
        <w:tc>
          <w:tcPr>
            <w:tcW w:w="1225" w:type="dxa"/>
            <w:shd w:val="clear" w:color="auto" w:fill="auto"/>
            <w:tcMar>
              <w:top w:w="100" w:type="dxa"/>
              <w:left w:w="100" w:type="dxa"/>
              <w:bottom w:w="100" w:type="dxa"/>
              <w:right w:w="100" w:type="dxa"/>
            </w:tcMar>
          </w:tcPr>
          <w:p w14:paraId="1A369443" w14:textId="77777777" w:rsidR="000E163C" w:rsidRDefault="00444266">
            <w:pPr>
              <w:widowControl w:val="0"/>
              <w:pBdr>
                <w:top w:val="nil"/>
                <w:left w:val="nil"/>
                <w:bottom w:val="nil"/>
                <w:right w:val="nil"/>
                <w:between w:val="nil"/>
              </w:pBdr>
              <w:jc w:val="center"/>
              <w:rPr>
                <w:b/>
                <w:sz w:val="28"/>
                <w:szCs w:val="28"/>
              </w:rPr>
            </w:pPr>
            <w:r>
              <w:rPr>
                <w:b/>
                <w:sz w:val="28"/>
                <w:szCs w:val="28"/>
              </w:rPr>
              <w:t>Y4</w:t>
            </w:r>
          </w:p>
        </w:tc>
        <w:tc>
          <w:tcPr>
            <w:tcW w:w="1225" w:type="dxa"/>
            <w:shd w:val="clear" w:color="auto" w:fill="auto"/>
            <w:tcMar>
              <w:top w:w="100" w:type="dxa"/>
              <w:left w:w="100" w:type="dxa"/>
              <w:bottom w:w="100" w:type="dxa"/>
              <w:right w:w="100" w:type="dxa"/>
            </w:tcMar>
          </w:tcPr>
          <w:p w14:paraId="3AE2911A" w14:textId="77777777" w:rsidR="000E163C" w:rsidRDefault="00444266">
            <w:pPr>
              <w:widowControl w:val="0"/>
              <w:pBdr>
                <w:top w:val="nil"/>
                <w:left w:val="nil"/>
                <w:bottom w:val="nil"/>
                <w:right w:val="nil"/>
                <w:between w:val="nil"/>
              </w:pBdr>
              <w:jc w:val="center"/>
              <w:rPr>
                <w:b/>
                <w:sz w:val="28"/>
                <w:szCs w:val="28"/>
              </w:rPr>
            </w:pPr>
            <w:r>
              <w:rPr>
                <w:b/>
                <w:sz w:val="28"/>
                <w:szCs w:val="28"/>
              </w:rPr>
              <w:t>Y5</w:t>
            </w:r>
          </w:p>
        </w:tc>
        <w:tc>
          <w:tcPr>
            <w:tcW w:w="1225" w:type="dxa"/>
            <w:shd w:val="clear" w:color="auto" w:fill="auto"/>
            <w:tcMar>
              <w:top w:w="100" w:type="dxa"/>
              <w:left w:w="100" w:type="dxa"/>
              <w:bottom w:w="100" w:type="dxa"/>
              <w:right w:w="100" w:type="dxa"/>
            </w:tcMar>
          </w:tcPr>
          <w:p w14:paraId="20E56638" w14:textId="77777777" w:rsidR="000E163C" w:rsidRDefault="00444266">
            <w:pPr>
              <w:widowControl w:val="0"/>
              <w:pBdr>
                <w:top w:val="nil"/>
                <w:left w:val="nil"/>
                <w:bottom w:val="nil"/>
                <w:right w:val="nil"/>
                <w:between w:val="nil"/>
              </w:pBdr>
              <w:jc w:val="center"/>
              <w:rPr>
                <w:b/>
                <w:sz w:val="28"/>
                <w:szCs w:val="28"/>
              </w:rPr>
            </w:pPr>
            <w:r>
              <w:rPr>
                <w:b/>
                <w:sz w:val="28"/>
                <w:szCs w:val="28"/>
              </w:rPr>
              <w:t>Y6</w:t>
            </w:r>
          </w:p>
        </w:tc>
        <w:tc>
          <w:tcPr>
            <w:tcW w:w="1225" w:type="dxa"/>
            <w:shd w:val="clear" w:color="auto" w:fill="auto"/>
            <w:tcMar>
              <w:top w:w="100" w:type="dxa"/>
              <w:left w:w="100" w:type="dxa"/>
              <w:bottom w:w="100" w:type="dxa"/>
              <w:right w:w="100" w:type="dxa"/>
            </w:tcMar>
          </w:tcPr>
          <w:p w14:paraId="1B8F28AB" w14:textId="77777777" w:rsidR="000E163C" w:rsidRDefault="00444266">
            <w:pPr>
              <w:widowControl w:val="0"/>
              <w:pBdr>
                <w:top w:val="nil"/>
                <w:left w:val="nil"/>
                <w:bottom w:val="nil"/>
                <w:right w:val="nil"/>
                <w:between w:val="nil"/>
              </w:pBdr>
              <w:jc w:val="center"/>
              <w:rPr>
                <w:b/>
                <w:sz w:val="28"/>
                <w:szCs w:val="28"/>
              </w:rPr>
            </w:pPr>
            <w:r>
              <w:rPr>
                <w:b/>
                <w:sz w:val="28"/>
                <w:szCs w:val="28"/>
              </w:rPr>
              <w:t>Y7</w:t>
            </w:r>
          </w:p>
        </w:tc>
        <w:tc>
          <w:tcPr>
            <w:tcW w:w="1225" w:type="dxa"/>
            <w:shd w:val="clear" w:color="auto" w:fill="auto"/>
            <w:tcMar>
              <w:top w:w="100" w:type="dxa"/>
              <w:left w:w="100" w:type="dxa"/>
              <w:bottom w:w="100" w:type="dxa"/>
              <w:right w:w="100" w:type="dxa"/>
            </w:tcMar>
          </w:tcPr>
          <w:p w14:paraId="5E17F60C" w14:textId="77777777" w:rsidR="000E163C" w:rsidRDefault="00444266">
            <w:pPr>
              <w:widowControl w:val="0"/>
              <w:pBdr>
                <w:top w:val="nil"/>
                <w:left w:val="nil"/>
                <w:bottom w:val="nil"/>
                <w:right w:val="nil"/>
                <w:between w:val="nil"/>
              </w:pBdr>
              <w:jc w:val="center"/>
              <w:rPr>
                <w:b/>
                <w:sz w:val="28"/>
                <w:szCs w:val="28"/>
              </w:rPr>
            </w:pPr>
            <w:r>
              <w:rPr>
                <w:b/>
                <w:sz w:val="28"/>
                <w:szCs w:val="28"/>
              </w:rPr>
              <w:t>Y8</w:t>
            </w:r>
          </w:p>
        </w:tc>
      </w:tr>
      <w:tr w:rsidR="000E163C" w14:paraId="5E635D0E" w14:textId="77777777">
        <w:trPr>
          <w:trHeight w:val="555"/>
        </w:trPr>
        <w:tc>
          <w:tcPr>
            <w:tcW w:w="1470" w:type="dxa"/>
            <w:shd w:val="clear" w:color="auto" w:fill="D9EAD3"/>
            <w:tcMar>
              <w:top w:w="100" w:type="dxa"/>
              <w:left w:w="100" w:type="dxa"/>
              <w:bottom w:w="100" w:type="dxa"/>
              <w:right w:w="100" w:type="dxa"/>
            </w:tcMar>
          </w:tcPr>
          <w:p w14:paraId="36EEF068" w14:textId="77777777" w:rsidR="000E163C" w:rsidRDefault="00444266">
            <w:pPr>
              <w:widowControl w:val="0"/>
              <w:pBdr>
                <w:top w:val="nil"/>
                <w:left w:val="nil"/>
                <w:bottom w:val="nil"/>
                <w:right w:val="nil"/>
                <w:between w:val="nil"/>
              </w:pBdr>
              <w:rPr>
                <w:sz w:val="20"/>
                <w:szCs w:val="20"/>
              </w:rPr>
            </w:pPr>
            <w:r>
              <w:rPr>
                <w:sz w:val="20"/>
                <w:szCs w:val="20"/>
              </w:rPr>
              <w:t>Reading:</w:t>
            </w:r>
          </w:p>
        </w:tc>
        <w:tc>
          <w:tcPr>
            <w:tcW w:w="1225" w:type="dxa"/>
            <w:shd w:val="clear" w:color="auto" w:fill="D9EAD3"/>
            <w:tcMar>
              <w:top w:w="100" w:type="dxa"/>
              <w:left w:w="100" w:type="dxa"/>
              <w:bottom w:w="100" w:type="dxa"/>
              <w:right w:w="100" w:type="dxa"/>
            </w:tcMar>
          </w:tcPr>
          <w:p w14:paraId="0789A52B" w14:textId="77777777" w:rsidR="000E163C" w:rsidRDefault="00444266">
            <w:pPr>
              <w:widowControl w:val="0"/>
              <w:pBdr>
                <w:top w:val="nil"/>
                <w:left w:val="nil"/>
                <w:bottom w:val="nil"/>
                <w:right w:val="nil"/>
                <w:between w:val="nil"/>
              </w:pBdr>
              <w:jc w:val="center"/>
              <w:rPr>
                <w:sz w:val="28"/>
                <w:szCs w:val="28"/>
              </w:rPr>
            </w:pPr>
            <w:r>
              <w:rPr>
                <w:sz w:val="28"/>
                <w:szCs w:val="28"/>
              </w:rPr>
              <w:t>44</w:t>
            </w:r>
          </w:p>
        </w:tc>
        <w:tc>
          <w:tcPr>
            <w:tcW w:w="1225" w:type="dxa"/>
            <w:shd w:val="clear" w:color="auto" w:fill="D9EAD3"/>
            <w:tcMar>
              <w:top w:w="100" w:type="dxa"/>
              <w:left w:w="100" w:type="dxa"/>
              <w:bottom w:w="100" w:type="dxa"/>
              <w:right w:w="100" w:type="dxa"/>
            </w:tcMar>
          </w:tcPr>
          <w:p w14:paraId="46921EDD" w14:textId="77777777" w:rsidR="000E163C" w:rsidRDefault="00444266">
            <w:pPr>
              <w:widowControl w:val="0"/>
              <w:pBdr>
                <w:top w:val="nil"/>
                <w:left w:val="nil"/>
                <w:bottom w:val="nil"/>
                <w:right w:val="nil"/>
                <w:between w:val="nil"/>
              </w:pBdr>
              <w:jc w:val="center"/>
              <w:rPr>
                <w:sz w:val="28"/>
                <w:szCs w:val="28"/>
              </w:rPr>
            </w:pPr>
            <w:r>
              <w:rPr>
                <w:sz w:val="28"/>
                <w:szCs w:val="28"/>
              </w:rPr>
              <w:t>65</w:t>
            </w:r>
          </w:p>
        </w:tc>
        <w:tc>
          <w:tcPr>
            <w:tcW w:w="1225" w:type="dxa"/>
            <w:shd w:val="clear" w:color="auto" w:fill="D9EAD3"/>
            <w:tcMar>
              <w:top w:w="100" w:type="dxa"/>
              <w:left w:w="100" w:type="dxa"/>
              <w:bottom w:w="100" w:type="dxa"/>
              <w:right w:w="100" w:type="dxa"/>
            </w:tcMar>
          </w:tcPr>
          <w:p w14:paraId="6EB6DF9F" w14:textId="77777777" w:rsidR="000E163C" w:rsidRDefault="00444266">
            <w:pPr>
              <w:widowControl w:val="0"/>
              <w:pBdr>
                <w:top w:val="nil"/>
                <w:left w:val="nil"/>
                <w:bottom w:val="nil"/>
                <w:right w:val="nil"/>
                <w:between w:val="nil"/>
              </w:pBdr>
              <w:jc w:val="center"/>
              <w:rPr>
                <w:sz w:val="28"/>
                <w:szCs w:val="28"/>
              </w:rPr>
            </w:pPr>
            <w:r>
              <w:rPr>
                <w:sz w:val="28"/>
                <w:szCs w:val="28"/>
              </w:rPr>
              <w:t>81</w:t>
            </w:r>
          </w:p>
        </w:tc>
        <w:tc>
          <w:tcPr>
            <w:tcW w:w="1225" w:type="dxa"/>
            <w:shd w:val="clear" w:color="auto" w:fill="D9EAD3"/>
            <w:tcMar>
              <w:top w:w="100" w:type="dxa"/>
              <w:left w:w="100" w:type="dxa"/>
              <w:bottom w:w="100" w:type="dxa"/>
              <w:right w:w="100" w:type="dxa"/>
            </w:tcMar>
          </w:tcPr>
          <w:p w14:paraId="78ADC0B5" w14:textId="77777777" w:rsidR="000E163C" w:rsidRDefault="00444266">
            <w:pPr>
              <w:widowControl w:val="0"/>
              <w:pBdr>
                <w:top w:val="nil"/>
                <w:left w:val="nil"/>
                <w:bottom w:val="nil"/>
                <w:right w:val="nil"/>
                <w:between w:val="nil"/>
              </w:pBdr>
              <w:jc w:val="center"/>
              <w:rPr>
                <w:sz w:val="28"/>
                <w:szCs w:val="28"/>
              </w:rPr>
            </w:pPr>
            <w:r>
              <w:rPr>
                <w:sz w:val="28"/>
                <w:szCs w:val="28"/>
              </w:rPr>
              <w:t>81</w:t>
            </w:r>
          </w:p>
        </w:tc>
        <w:tc>
          <w:tcPr>
            <w:tcW w:w="1225" w:type="dxa"/>
            <w:shd w:val="clear" w:color="auto" w:fill="D9EAD3"/>
            <w:tcMar>
              <w:top w:w="100" w:type="dxa"/>
              <w:left w:w="100" w:type="dxa"/>
              <w:bottom w:w="100" w:type="dxa"/>
              <w:right w:w="100" w:type="dxa"/>
            </w:tcMar>
          </w:tcPr>
          <w:p w14:paraId="3CC6D9F6" w14:textId="77777777" w:rsidR="000E163C" w:rsidRDefault="00444266">
            <w:pPr>
              <w:widowControl w:val="0"/>
              <w:pBdr>
                <w:top w:val="nil"/>
                <w:left w:val="nil"/>
                <w:bottom w:val="nil"/>
                <w:right w:val="nil"/>
                <w:between w:val="nil"/>
              </w:pBdr>
              <w:jc w:val="center"/>
              <w:rPr>
                <w:sz w:val="28"/>
                <w:szCs w:val="28"/>
              </w:rPr>
            </w:pPr>
            <w:r>
              <w:rPr>
                <w:sz w:val="28"/>
                <w:szCs w:val="28"/>
              </w:rPr>
              <w:t>69</w:t>
            </w:r>
          </w:p>
        </w:tc>
        <w:tc>
          <w:tcPr>
            <w:tcW w:w="1225" w:type="dxa"/>
            <w:shd w:val="clear" w:color="auto" w:fill="D9EAD3"/>
            <w:tcMar>
              <w:top w:w="100" w:type="dxa"/>
              <w:left w:w="100" w:type="dxa"/>
              <w:bottom w:w="100" w:type="dxa"/>
              <w:right w:w="100" w:type="dxa"/>
            </w:tcMar>
          </w:tcPr>
          <w:p w14:paraId="33A49619" w14:textId="77777777" w:rsidR="000E163C" w:rsidRDefault="00444266">
            <w:pPr>
              <w:widowControl w:val="0"/>
              <w:pBdr>
                <w:top w:val="nil"/>
                <w:left w:val="nil"/>
                <w:bottom w:val="nil"/>
                <w:right w:val="nil"/>
                <w:between w:val="nil"/>
              </w:pBdr>
              <w:jc w:val="center"/>
              <w:rPr>
                <w:sz w:val="28"/>
                <w:szCs w:val="28"/>
              </w:rPr>
            </w:pPr>
            <w:r>
              <w:rPr>
                <w:sz w:val="28"/>
                <w:szCs w:val="28"/>
              </w:rPr>
              <w:t>73</w:t>
            </w:r>
          </w:p>
        </w:tc>
        <w:tc>
          <w:tcPr>
            <w:tcW w:w="1225" w:type="dxa"/>
            <w:shd w:val="clear" w:color="auto" w:fill="D9EAD3"/>
            <w:tcMar>
              <w:top w:w="100" w:type="dxa"/>
              <w:left w:w="100" w:type="dxa"/>
              <w:bottom w:w="100" w:type="dxa"/>
              <w:right w:w="100" w:type="dxa"/>
            </w:tcMar>
          </w:tcPr>
          <w:p w14:paraId="4C1F0DDB" w14:textId="77777777" w:rsidR="000E163C" w:rsidRDefault="00444266">
            <w:pPr>
              <w:widowControl w:val="0"/>
              <w:pBdr>
                <w:top w:val="nil"/>
                <w:left w:val="nil"/>
                <w:bottom w:val="nil"/>
                <w:right w:val="nil"/>
                <w:between w:val="nil"/>
              </w:pBdr>
              <w:jc w:val="center"/>
              <w:rPr>
                <w:sz w:val="28"/>
                <w:szCs w:val="28"/>
              </w:rPr>
            </w:pPr>
            <w:r>
              <w:rPr>
                <w:sz w:val="28"/>
                <w:szCs w:val="28"/>
              </w:rPr>
              <w:t>85</w:t>
            </w:r>
          </w:p>
        </w:tc>
      </w:tr>
      <w:tr w:rsidR="000E163C" w14:paraId="5734FA1D" w14:textId="77777777">
        <w:trPr>
          <w:trHeight w:val="555"/>
        </w:trPr>
        <w:tc>
          <w:tcPr>
            <w:tcW w:w="1470" w:type="dxa"/>
            <w:shd w:val="clear" w:color="auto" w:fill="CFE2F3"/>
            <w:tcMar>
              <w:top w:w="100" w:type="dxa"/>
              <w:left w:w="100" w:type="dxa"/>
              <w:bottom w:w="100" w:type="dxa"/>
              <w:right w:w="100" w:type="dxa"/>
            </w:tcMar>
          </w:tcPr>
          <w:p w14:paraId="24F5BB67" w14:textId="77777777" w:rsidR="000E163C" w:rsidRDefault="00444266">
            <w:pPr>
              <w:widowControl w:val="0"/>
              <w:pBdr>
                <w:top w:val="nil"/>
                <w:left w:val="nil"/>
                <w:bottom w:val="nil"/>
                <w:right w:val="nil"/>
                <w:between w:val="nil"/>
              </w:pBdr>
              <w:rPr>
                <w:sz w:val="20"/>
                <w:szCs w:val="20"/>
              </w:rPr>
            </w:pPr>
            <w:r>
              <w:rPr>
                <w:sz w:val="20"/>
                <w:szCs w:val="20"/>
              </w:rPr>
              <w:t>Writing:</w:t>
            </w:r>
          </w:p>
        </w:tc>
        <w:tc>
          <w:tcPr>
            <w:tcW w:w="1225" w:type="dxa"/>
            <w:shd w:val="clear" w:color="auto" w:fill="CFE2F3"/>
            <w:tcMar>
              <w:top w:w="100" w:type="dxa"/>
              <w:left w:w="100" w:type="dxa"/>
              <w:bottom w:w="100" w:type="dxa"/>
              <w:right w:w="100" w:type="dxa"/>
            </w:tcMar>
          </w:tcPr>
          <w:p w14:paraId="022325AE" w14:textId="77777777" w:rsidR="000E163C" w:rsidRDefault="00444266">
            <w:pPr>
              <w:widowControl w:val="0"/>
              <w:pBdr>
                <w:top w:val="nil"/>
                <w:left w:val="nil"/>
                <w:bottom w:val="nil"/>
                <w:right w:val="nil"/>
                <w:between w:val="nil"/>
              </w:pBdr>
              <w:jc w:val="center"/>
              <w:rPr>
                <w:sz w:val="28"/>
                <w:szCs w:val="28"/>
              </w:rPr>
            </w:pPr>
            <w:r>
              <w:rPr>
                <w:sz w:val="28"/>
                <w:szCs w:val="28"/>
              </w:rPr>
              <w:t>31</w:t>
            </w:r>
          </w:p>
        </w:tc>
        <w:tc>
          <w:tcPr>
            <w:tcW w:w="1225" w:type="dxa"/>
            <w:shd w:val="clear" w:color="auto" w:fill="CFE2F3"/>
            <w:tcMar>
              <w:top w:w="100" w:type="dxa"/>
              <w:left w:w="100" w:type="dxa"/>
              <w:bottom w:w="100" w:type="dxa"/>
              <w:right w:w="100" w:type="dxa"/>
            </w:tcMar>
          </w:tcPr>
          <w:p w14:paraId="19692DB9" w14:textId="77777777" w:rsidR="000E163C" w:rsidRDefault="00444266">
            <w:pPr>
              <w:widowControl w:val="0"/>
              <w:pBdr>
                <w:top w:val="nil"/>
                <w:left w:val="nil"/>
                <w:bottom w:val="nil"/>
                <w:right w:val="nil"/>
                <w:between w:val="nil"/>
              </w:pBdr>
              <w:jc w:val="center"/>
              <w:rPr>
                <w:sz w:val="28"/>
                <w:szCs w:val="28"/>
              </w:rPr>
            </w:pPr>
            <w:r>
              <w:rPr>
                <w:sz w:val="28"/>
                <w:szCs w:val="28"/>
              </w:rPr>
              <w:t>78</w:t>
            </w:r>
          </w:p>
        </w:tc>
        <w:tc>
          <w:tcPr>
            <w:tcW w:w="1225" w:type="dxa"/>
            <w:shd w:val="clear" w:color="auto" w:fill="CFE2F3"/>
            <w:tcMar>
              <w:top w:w="100" w:type="dxa"/>
              <w:left w:w="100" w:type="dxa"/>
              <w:bottom w:w="100" w:type="dxa"/>
              <w:right w:w="100" w:type="dxa"/>
            </w:tcMar>
          </w:tcPr>
          <w:p w14:paraId="730BDDCF" w14:textId="77777777" w:rsidR="000E163C" w:rsidRDefault="00444266">
            <w:pPr>
              <w:widowControl w:val="0"/>
              <w:pBdr>
                <w:top w:val="nil"/>
                <w:left w:val="nil"/>
                <w:bottom w:val="nil"/>
                <w:right w:val="nil"/>
                <w:between w:val="nil"/>
              </w:pBdr>
              <w:jc w:val="center"/>
              <w:rPr>
                <w:sz w:val="28"/>
                <w:szCs w:val="28"/>
              </w:rPr>
            </w:pPr>
            <w:r>
              <w:rPr>
                <w:sz w:val="28"/>
                <w:szCs w:val="28"/>
              </w:rPr>
              <w:t>51</w:t>
            </w:r>
          </w:p>
        </w:tc>
        <w:tc>
          <w:tcPr>
            <w:tcW w:w="1225" w:type="dxa"/>
            <w:shd w:val="clear" w:color="auto" w:fill="CFE2F3"/>
            <w:tcMar>
              <w:top w:w="100" w:type="dxa"/>
              <w:left w:w="100" w:type="dxa"/>
              <w:bottom w:w="100" w:type="dxa"/>
              <w:right w:w="100" w:type="dxa"/>
            </w:tcMar>
          </w:tcPr>
          <w:p w14:paraId="2949499C" w14:textId="77777777" w:rsidR="000E163C" w:rsidRDefault="00444266">
            <w:pPr>
              <w:widowControl w:val="0"/>
              <w:pBdr>
                <w:top w:val="nil"/>
                <w:left w:val="nil"/>
                <w:bottom w:val="nil"/>
                <w:right w:val="nil"/>
                <w:between w:val="nil"/>
              </w:pBdr>
              <w:jc w:val="center"/>
              <w:rPr>
                <w:sz w:val="28"/>
                <w:szCs w:val="28"/>
              </w:rPr>
            </w:pPr>
            <w:r>
              <w:rPr>
                <w:sz w:val="28"/>
                <w:szCs w:val="28"/>
              </w:rPr>
              <w:t>72</w:t>
            </w:r>
          </w:p>
        </w:tc>
        <w:tc>
          <w:tcPr>
            <w:tcW w:w="1225" w:type="dxa"/>
            <w:shd w:val="clear" w:color="auto" w:fill="CFE2F3"/>
            <w:tcMar>
              <w:top w:w="100" w:type="dxa"/>
              <w:left w:w="100" w:type="dxa"/>
              <w:bottom w:w="100" w:type="dxa"/>
              <w:right w:w="100" w:type="dxa"/>
            </w:tcMar>
          </w:tcPr>
          <w:p w14:paraId="7B999F70" w14:textId="77777777" w:rsidR="000E163C" w:rsidRDefault="00444266">
            <w:pPr>
              <w:widowControl w:val="0"/>
              <w:pBdr>
                <w:top w:val="nil"/>
                <w:left w:val="nil"/>
                <w:bottom w:val="nil"/>
                <w:right w:val="nil"/>
                <w:between w:val="nil"/>
              </w:pBdr>
              <w:jc w:val="center"/>
              <w:rPr>
                <w:sz w:val="28"/>
                <w:szCs w:val="28"/>
              </w:rPr>
            </w:pPr>
            <w:r>
              <w:rPr>
                <w:sz w:val="28"/>
                <w:szCs w:val="28"/>
              </w:rPr>
              <w:t>69</w:t>
            </w:r>
          </w:p>
        </w:tc>
        <w:tc>
          <w:tcPr>
            <w:tcW w:w="1225" w:type="dxa"/>
            <w:shd w:val="clear" w:color="auto" w:fill="CFE2F3"/>
            <w:tcMar>
              <w:top w:w="100" w:type="dxa"/>
              <w:left w:w="100" w:type="dxa"/>
              <w:bottom w:w="100" w:type="dxa"/>
              <w:right w:w="100" w:type="dxa"/>
            </w:tcMar>
          </w:tcPr>
          <w:p w14:paraId="4F868D9D" w14:textId="77777777" w:rsidR="000E163C" w:rsidRDefault="00444266">
            <w:pPr>
              <w:widowControl w:val="0"/>
              <w:pBdr>
                <w:top w:val="nil"/>
                <w:left w:val="nil"/>
                <w:bottom w:val="nil"/>
                <w:right w:val="nil"/>
                <w:between w:val="nil"/>
              </w:pBdr>
              <w:jc w:val="center"/>
              <w:rPr>
                <w:sz w:val="28"/>
                <w:szCs w:val="28"/>
              </w:rPr>
            </w:pPr>
            <w:r>
              <w:rPr>
                <w:sz w:val="28"/>
                <w:szCs w:val="28"/>
              </w:rPr>
              <w:t>27</w:t>
            </w:r>
          </w:p>
        </w:tc>
        <w:tc>
          <w:tcPr>
            <w:tcW w:w="1225" w:type="dxa"/>
            <w:shd w:val="clear" w:color="auto" w:fill="CFE2F3"/>
            <w:tcMar>
              <w:top w:w="100" w:type="dxa"/>
              <w:left w:w="100" w:type="dxa"/>
              <w:bottom w:w="100" w:type="dxa"/>
              <w:right w:w="100" w:type="dxa"/>
            </w:tcMar>
          </w:tcPr>
          <w:p w14:paraId="77F398AC" w14:textId="77777777" w:rsidR="000E163C" w:rsidRDefault="00444266">
            <w:pPr>
              <w:widowControl w:val="0"/>
              <w:pBdr>
                <w:top w:val="nil"/>
                <w:left w:val="nil"/>
                <w:bottom w:val="nil"/>
                <w:right w:val="nil"/>
                <w:between w:val="nil"/>
              </w:pBdr>
              <w:jc w:val="center"/>
              <w:rPr>
                <w:sz w:val="28"/>
                <w:szCs w:val="28"/>
              </w:rPr>
            </w:pPr>
            <w:r>
              <w:rPr>
                <w:sz w:val="28"/>
                <w:szCs w:val="28"/>
              </w:rPr>
              <w:t>72</w:t>
            </w:r>
          </w:p>
        </w:tc>
      </w:tr>
      <w:tr w:rsidR="000E163C" w14:paraId="05214336" w14:textId="77777777">
        <w:trPr>
          <w:trHeight w:val="555"/>
        </w:trPr>
        <w:tc>
          <w:tcPr>
            <w:tcW w:w="1470" w:type="dxa"/>
            <w:shd w:val="clear" w:color="auto" w:fill="FCE5CD"/>
            <w:tcMar>
              <w:top w:w="100" w:type="dxa"/>
              <w:left w:w="100" w:type="dxa"/>
              <w:bottom w:w="100" w:type="dxa"/>
              <w:right w:w="100" w:type="dxa"/>
            </w:tcMar>
          </w:tcPr>
          <w:p w14:paraId="266C1FA6" w14:textId="77777777" w:rsidR="000E163C" w:rsidRDefault="00444266">
            <w:pPr>
              <w:widowControl w:val="0"/>
              <w:pBdr>
                <w:top w:val="nil"/>
                <w:left w:val="nil"/>
                <w:bottom w:val="nil"/>
                <w:right w:val="nil"/>
                <w:between w:val="nil"/>
              </w:pBdr>
              <w:rPr>
                <w:sz w:val="20"/>
                <w:szCs w:val="20"/>
              </w:rPr>
            </w:pPr>
            <w:r>
              <w:rPr>
                <w:sz w:val="20"/>
                <w:szCs w:val="20"/>
              </w:rPr>
              <w:t>Mathematics:</w:t>
            </w:r>
          </w:p>
        </w:tc>
        <w:tc>
          <w:tcPr>
            <w:tcW w:w="1225" w:type="dxa"/>
            <w:shd w:val="clear" w:color="auto" w:fill="FCE5CD"/>
            <w:tcMar>
              <w:top w:w="100" w:type="dxa"/>
              <w:left w:w="100" w:type="dxa"/>
              <w:bottom w:w="100" w:type="dxa"/>
              <w:right w:w="100" w:type="dxa"/>
            </w:tcMar>
          </w:tcPr>
          <w:p w14:paraId="1D06F97A" w14:textId="77777777" w:rsidR="000E163C" w:rsidRDefault="00444266">
            <w:pPr>
              <w:widowControl w:val="0"/>
              <w:pBdr>
                <w:top w:val="nil"/>
                <w:left w:val="nil"/>
                <w:bottom w:val="nil"/>
                <w:right w:val="nil"/>
                <w:between w:val="nil"/>
              </w:pBdr>
              <w:jc w:val="center"/>
              <w:rPr>
                <w:sz w:val="28"/>
                <w:szCs w:val="28"/>
              </w:rPr>
            </w:pPr>
            <w:r>
              <w:rPr>
                <w:sz w:val="28"/>
                <w:szCs w:val="28"/>
              </w:rPr>
              <w:t>50</w:t>
            </w:r>
          </w:p>
        </w:tc>
        <w:tc>
          <w:tcPr>
            <w:tcW w:w="1225" w:type="dxa"/>
            <w:shd w:val="clear" w:color="auto" w:fill="FCE5CD"/>
            <w:tcMar>
              <w:top w:w="100" w:type="dxa"/>
              <w:left w:w="100" w:type="dxa"/>
              <w:bottom w:w="100" w:type="dxa"/>
              <w:right w:w="100" w:type="dxa"/>
            </w:tcMar>
          </w:tcPr>
          <w:p w14:paraId="2F9D6C74" w14:textId="77777777" w:rsidR="000E163C" w:rsidRDefault="00444266">
            <w:pPr>
              <w:widowControl w:val="0"/>
              <w:pBdr>
                <w:top w:val="nil"/>
                <w:left w:val="nil"/>
                <w:bottom w:val="nil"/>
                <w:right w:val="nil"/>
                <w:between w:val="nil"/>
              </w:pBdr>
              <w:jc w:val="center"/>
              <w:rPr>
                <w:sz w:val="28"/>
                <w:szCs w:val="28"/>
              </w:rPr>
            </w:pPr>
            <w:r>
              <w:rPr>
                <w:sz w:val="28"/>
                <w:szCs w:val="28"/>
              </w:rPr>
              <w:t>43</w:t>
            </w:r>
          </w:p>
        </w:tc>
        <w:tc>
          <w:tcPr>
            <w:tcW w:w="1225" w:type="dxa"/>
            <w:shd w:val="clear" w:color="auto" w:fill="FCE5CD"/>
            <w:tcMar>
              <w:top w:w="100" w:type="dxa"/>
              <w:left w:w="100" w:type="dxa"/>
              <w:bottom w:w="100" w:type="dxa"/>
              <w:right w:w="100" w:type="dxa"/>
            </w:tcMar>
          </w:tcPr>
          <w:p w14:paraId="45565B48" w14:textId="77777777" w:rsidR="000E163C" w:rsidRDefault="00444266">
            <w:pPr>
              <w:widowControl w:val="0"/>
              <w:pBdr>
                <w:top w:val="nil"/>
                <w:left w:val="nil"/>
                <w:bottom w:val="nil"/>
                <w:right w:val="nil"/>
                <w:between w:val="nil"/>
              </w:pBdr>
              <w:jc w:val="center"/>
              <w:rPr>
                <w:sz w:val="28"/>
                <w:szCs w:val="28"/>
              </w:rPr>
            </w:pPr>
            <w:r>
              <w:rPr>
                <w:sz w:val="28"/>
                <w:szCs w:val="28"/>
              </w:rPr>
              <w:t>56</w:t>
            </w:r>
          </w:p>
        </w:tc>
        <w:tc>
          <w:tcPr>
            <w:tcW w:w="1225" w:type="dxa"/>
            <w:shd w:val="clear" w:color="auto" w:fill="FCE5CD"/>
            <w:tcMar>
              <w:top w:w="100" w:type="dxa"/>
              <w:left w:w="100" w:type="dxa"/>
              <w:bottom w:w="100" w:type="dxa"/>
              <w:right w:w="100" w:type="dxa"/>
            </w:tcMar>
          </w:tcPr>
          <w:p w14:paraId="1CF8BB64" w14:textId="77777777" w:rsidR="000E163C" w:rsidRDefault="00444266">
            <w:pPr>
              <w:widowControl w:val="0"/>
              <w:pBdr>
                <w:top w:val="nil"/>
                <w:left w:val="nil"/>
                <w:bottom w:val="nil"/>
                <w:right w:val="nil"/>
                <w:between w:val="nil"/>
              </w:pBdr>
              <w:jc w:val="center"/>
              <w:rPr>
                <w:sz w:val="28"/>
                <w:szCs w:val="28"/>
              </w:rPr>
            </w:pPr>
            <w:r>
              <w:rPr>
                <w:sz w:val="28"/>
                <w:szCs w:val="28"/>
              </w:rPr>
              <w:t>62</w:t>
            </w:r>
          </w:p>
        </w:tc>
        <w:tc>
          <w:tcPr>
            <w:tcW w:w="1225" w:type="dxa"/>
            <w:shd w:val="clear" w:color="auto" w:fill="FCE5CD"/>
            <w:tcMar>
              <w:top w:w="100" w:type="dxa"/>
              <w:left w:w="100" w:type="dxa"/>
              <w:bottom w:w="100" w:type="dxa"/>
              <w:right w:w="100" w:type="dxa"/>
            </w:tcMar>
          </w:tcPr>
          <w:p w14:paraId="0D39A3D4" w14:textId="77777777" w:rsidR="000E163C" w:rsidRDefault="00444266">
            <w:pPr>
              <w:widowControl w:val="0"/>
              <w:pBdr>
                <w:top w:val="nil"/>
                <w:left w:val="nil"/>
                <w:bottom w:val="nil"/>
                <w:right w:val="nil"/>
                <w:between w:val="nil"/>
              </w:pBdr>
              <w:jc w:val="center"/>
              <w:rPr>
                <w:sz w:val="28"/>
                <w:szCs w:val="28"/>
              </w:rPr>
            </w:pPr>
            <w:r>
              <w:rPr>
                <w:sz w:val="28"/>
                <w:szCs w:val="28"/>
              </w:rPr>
              <w:t>84</w:t>
            </w:r>
          </w:p>
        </w:tc>
        <w:tc>
          <w:tcPr>
            <w:tcW w:w="1225" w:type="dxa"/>
            <w:shd w:val="clear" w:color="auto" w:fill="FCE5CD"/>
            <w:tcMar>
              <w:top w:w="100" w:type="dxa"/>
              <w:left w:w="100" w:type="dxa"/>
              <w:bottom w:w="100" w:type="dxa"/>
              <w:right w:w="100" w:type="dxa"/>
            </w:tcMar>
          </w:tcPr>
          <w:p w14:paraId="774EADD7" w14:textId="77777777" w:rsidR="000E163C" w:rsidRDefault="00444266">
            <w:pPr>
              <w:widowControl w:val="0"/>
              <w:pBdr>
                <w:top w:val="nil"/>
                <w:left w:val="nil"/>
                <w:bottom w:val="nil"/>
                <w:right w:val="nil"/>
                <w:between w:val="nil"/>
              </w:pBdr>
              <w:jc w:val="center"/>
              <w:rPr>
                <w:sz w:val="28"/>
                <w:szCs w:val="28"/>
              </w:rPr>
            </w:pPr>
            <w:r>
              <w:rPr>
                <w:sz w:val="28"/>
                <w:szCs w:val="28"/>
              </w:rPr>
              <w:t>45</w:t>
            </w:r>
          </w:p>
        </w:tc>
        <w:tc>
          <w:tcPr>
            <w:tcW w:w="1225" w:type="dxa"/>
            <w:shd w:val="clear" w:color="auto" w:fill="FCE5CD"/>
            <w:tcMar>
              <w:top w:w="100" w:type="dxa"/>
              <w:left w:w="100" w:type="dxa"/>
              <w:bottom w:w="100" w:type="dxa"/>
              <w:right w:w="100" w:type="dxa"/>
            </w:tcMar>
          </w:tcPr>
          <w:p w14:paraId="2070094B" w14:textId="77777777" w:rsidR="000E163C" w:rsidRDefault="00444266">
            <w:pPr>
              <w:widowControl w:val="0"/>
              <w:pBdr>
                <w:top w:val="nil"/>
                <w:left w:val="nil"/>
                <w:bottom w:val="nil"/>
                <w:right w:val="nil"/>
                <w:between w:val="nil"/>
              </w:pBdr>
              <w:jc w:val="center"/>
              <w:rPr>
                <w:sz w:val="28"/>
                <w:szCs w:val="28"/>
              </w:rPr>
            </w:pPr>
            <w:r>
              <w:rPr>
                <w:sz w:val="28"/>
                <w:szCs w:val="28"/>
              </w:rPr>
              <w:t>76</w:t>
            </w:r>
          </w:p>
        </w:tc>
      </w:tr>
    </w:tbl>
    <w:p w14:paraId="681C3499" w14:textId="77777777" w:rsidR="000E163C" w:rsidRDefault="000E163C">
      <w:pPr>
        <w:rPr>
          <w:sz w:val="28"/>
          <w:szCs w:val="28"/>
        </w:rPr>
      </w:pPr>
    </w:p>
    <w:p w14:paraId="1D1AC473" w14:textId="2C9C4445" w:rsidR="000E163C" w:rsidRDefault="00444266">
      <w:pPr>
        <w:jc w:val="both"/>
      </w:pPr>
      <w:r>
        <w:t>While year groups contain small numbers, this is still useful information because we can see the year levels in which most children are not achieving at expectation. These children are in multi</w:t>
      </w:r>
      <w:r w:rsidR="00476847">
        <w:t>-</w:t>
      </w:r>
      <w:r>
        <w:t>level classes, therefore we need to be mindful of this when re</w:t>
      </w:r>
      <w:r>
        <w:t>flecting on the teaching or learning programmes. For example, in our senior classes there are year 6, 7 and 8 students.  What percentage reflects the teaching and learning in mathematics? 84%, 45% or 76%? In writing at year 7 there are 8/11 students who ar</w:t>
      </w:r>
      <w:r>
        <w:t xml:space="preserve">e not achieving at expectation and 6/13 in year 6. This is why we need to focus on each individual child and all of their needs and challenges. </w:t>
      </w:r>
      <w:r w:rsidR="00476847">
        <w:t xml:space="preserve">Within a year group there </w:t>
      </w:r>
      <w:r>
        <w:t xml:space="preserve"> </w:t>
      </w:r>
      <w:r w:rsidR="00476847">
        <w:t xml:space="preserve">will be </w:t>
      </w:r>
      <w:r>
        <w:t xml:space="preserve">children who have had </w:t>
      </w:r>
      <w:r w:rsidR="00476847">
        <w:t xml:space="preserve">extra </w:t>
      </w:r>
      <w:r>
        <w:t>challeng</w:t>
      </w:r>
      <w:r w:rsidR="00476847">
        <w:t>es</w:t>
      </w:r>
      <w:r>
        <w:t xml:space="preserve"> </w:t>
      </w:r>
      <w:r>
        <w:t xml:space="preserve"> tha</w:t>
      </w:r>
      <w:r>
        <w:t xml:space="preserve">t have </w:t>
      </w:r>
      <w:r>
        <w:t>impacted their learning.  These factors</w:t>
      </w:r>
      <w:r w:rsidR="00476847">
        <w:t xml:space="preserve"> can</w:t>
      </w:r>
      <w:r>
        <w:t xml:space="preserve"> include:</w:t>
      </w:r>
    </w:p>
    <w:p w14:paraId="26EF34B7" w14:textId="77777777" w:rsidR="000E163C" w:rsidRDefault="00444266">
      <w:pPr>
        <w:numPr>
          <w:ilvl w:val="0"/>
          <w:numId w:val="1"/>
        </w:numPr>
      </w:pPr>
      <w:r>
        <w:t xml:space="preserve"> emotional trauma</w:t>
      </w:r>
    </w:p>
    <w:p w14:paraId="41C60827" w14:textId="77777777" w:rsidR="000E163C" w:rsidRDefault="00444266">
      <w:pPr>
        <w:numPr>
          <w:ilvl w:val="0"/>
          <w:numId w:val="1"/>
        </w:numPr>
      </w:pPr>
      <w:r>
        <w:t>significant missed schooling</w:t>
      </w:r>
    </w:p>
    <w:p w14:paraId="6533986E" w14:textId="77777777" w:rsidR="000E163C" w:rsidRDefault="00444266">
      <w:pPr>
        <w:numPr>
          <w:ilvl w:val="0"/>
          <w:numId w:val="1"/>
        </w:numPr>
      </w:pPr>
      <w:r>
        <w:t>family dysfunction</w:t>
      </w:r>
    </w:p>
    <w:p w14:paraId="49C342BD" w14:textId="77777777" w:rsidR="000E163C" w:rsidRDefault="000E163C"/>
    <w:p w14:paraId="62E43961" w14:textId="77777777" w:rsidR="000E163C" w:rsidRDefault="00444266">
      <w:r>
        <w:t xml:space="preserve">In all subjects, over 70% of year 8 students are achieving </w:t>
      </w:r>
      <w:r>
        <w:rPr>
          <w:i/>
        </w:rPr>
        <w:t>at or above</w:t>
      </w:r>
      <w:r>
        <w:t xml:space="preserve"> expectation. </w:t>
      </w:r>
    </w:p>
    <w:p w14:paraId="687A2D94" w14:textId="77777777" w:rsidR="000E163C" w:rsidRDefault="000E163C">
      <w:pPr>
        <w:rPr>
          <w:sz w:val="28"/>
          <w:szCs w:val="28"/>
        </w:rPr>
      </w:pPr>
    </w:p>
    <w:p w14:paraId="3E693E2F" w14:textId="77777777" w:rsidR="000E163C" w:rsidRDefault="00444266">
      <w:pPr>
        <w:rPr>
          <w:b/>
          <w:sz w:val="28"/>
          <w:szCs w:val="28"/>
        </w:rPr>
      </w:pPr>
      <w:r>
        <w:rPr>
          <w:b/>
          <w:sz w:val="28"/>
          <w:szCs w:val="28"/>
        </w:rPr>
        <w:t>Further information about the assessment process</w:t>
      </w:r>
    </w:p>
    <w:p w14:paraId="66837600" w14:textId="77777777" w:rsidR="000E163C" w:rsidRDefault="000E163C">
      <w:pPr>
        <w:rPr>
          <w:sz w:val="22"/>
          <w:szCs w:val="22"/>
        </w:rPr>
      </w:pPr>
    </w:p>
    <w:p w14:paraId="5C52D18A" w14:textId="77777777" w:rsidR="000E163C" w:rsidRDefault="00444266">
      <w:pPr>
        <w:jc w:val="both"/>
      </w:pPr>
      <w:r>
        <w:t xml:space="preserve">I will use the </w:t>
      </w:r>
      <w:r>
        <w:rPr>
          <w:b/>
        </w:rPr>
        <w:t>year 6 expectation</w:t>
      </w:r>
      <w:r>
        <w:t xml:space="preserve"> at </w:t>
      </w:r>
      <w:proofErr w:type="spellStart"/>
      <w:r>
        <w:t>mid year</w:t>
      </w:r>
      <w:proofErr w:type="spellEnd"/>
      <w:r>
        <w:t xml:space="preserve"> to illustrate how the student’s progress is determined based on where they are working at a particular point in the year. This can change, especially from mid-y</w:t>
      </w:r>
      <w:r>
        <w:t xml:space="preserve">ear, when we are looking more at progress through term 1 and part way through term 2, to the end of year, which is approximately 20 + weeks of further teaching. </w:t>
      </w:r>
    </w:p>
    <w:p w14:paraId="703D786A" w14:textId="77777777" w:rsidR="000E163C" w:rsidRDefault="000E163C">
      <w:pPr>
        <w:jc w:val="both"/>
        <w:rPr>
          <w:sz w:val="28"/>
          <w:szCs w:val="28"/>
        </w:rPr>
      </w:pPr>
    </w:p>
    <w:p w14:paraId="0141802F" w14:textId="77777777" w:rsidR="000E163C" w:rsidRDefault="00444266">
      <w:pPr>
        <w:rPr>
          <w:sz w:val="28"/>
          <w:szCs w:val="28"/>
        </w:rPr>
      </w:pPr>
      <w:r>
        <w:rPr>
          <w:sz w:val="28"/>
          <w:szCs w:val="28"/>
        </w:rPr>
        <w:t>Expectation (at) is Basic 3</w:t>
      </w:r>
    </w:p>
    <w:p w14:paraId="48DF4059" w14:textId="77777777" w:rsidR="000E163C" w:rsidRDefault="000E163C"/>
    <w:tbl>
      <w:tblPr>
        <w:tblStyle w:val="a5"/>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7"/>
        <w:gridCol w:w="1257"/>
        <w:gridCol w:w="1256"/>
        <w:gridCol w:w="1256"/>
        <w:gridCol w:w="1256"/>
        <w:gridCol w:w="1256"/>
        <w:gridCol w:w="1256"/>
        <w:gridCol w:w="1256"/>
      </w:tblGrid>
      <w:tr w:rsidR="000E163C" w14:paraId="08BE6814" w14:textId="77777777">
        <w:tc>
          <w:tcPr>
            <w:tcW w:w="1256" w:type="dxa"/>
            <w:shd w:val="clear" w:color="auto" w:fill="auto"/>
            <w:tcMar>
              <w:top w:w="100" w:type="dxa"/>
              <w:left w:w="100" w:type="dxa"/>
              <w:bottom w:w="100" w:type="dxa"/>
              <w:right w:w="100" w:type="dxa"/>
            </w:tcMar>
          </w:tcPr>
          <w:p w14:paraId="37B475CB" w14:textId="77777777" w:rsidR="000E163C" w:rsidRDefault="00444266">
            <w:pPr>
              <w:widowControl w:val="0"/>
              <w:pBdr>
                <w:top w:val="nil"/>
                <w:left w:val="nil"/>
                <w:bottom w:val="nil"/>
                <w:right w:val="nil"/>
                <w:between w:val="nil"/>
              </w:pBdr>
              <w:rPr>
                <w:b/>
                <w:sz w:val="22"/>
                <w:szCs w:val="22"/>
              </w:rPr>
            </w:pPr>
            <w:r>
              <w:rPr>
                <w:b/>
                <w:sz w:val="22"/>
                <w:szCs w:val="22"/>
              </w:rPr>
              <w:t xml:space="preserve">Basic </w:t>
            </w:r>
          </w:p>
          <w:p w14:paraId="2117BB6C" w14:textId="77777777" w:rsidR="000E163C" w:rsidRDefault="00444266">
            <w:pPr>
              <w:widowControl w:val="0"/>
              <w:pBdr>
                <w:top w:val="nil"/>
                <w:left w:val="nil"/>
                <w:bottom w:val="nil"/>
                <w:right w:val="nil"/>
                <w:between w:val="nil"/>
              </w:pBdr>
              <w:rPr>
                <w:b/>
                <w:sz w:val="22"/>
                <w:szCs w:val="22"/>
              </w:rPr>
            </w:pPr>
            <w:r>
              <w:rPr>
                <w:b/>
                <w:sz w:val="22"/>
                <w:szCs w:val="22"/>
              </w:rPr>
              <w:t>at level 2</w:t>
            </w:r>
          </w:p>
          <w:p w14:paraId="267DED6F" w14:textId="77777777" w:rsidR="000E163C" w:rsidRDefault="000E163C">
            <w:pPr>
              <w:widowControl w:val="0"/>
              <w:pBdr>
                <w:top w:val="nil"/>
                <w:left w:val="nil"/>
                <w:bottom w:val="nil"/>
                <w:right w:val="nil"/>
                <w:between w:val="nil"/>
              </w:pBdr>
              <w:rPr>
                <w:sz w:val="22"/>
                <w:szCs w:val="22"/>
              </w:rPr>
            </w:pPr>
          </w:p>
          <w:p w14:paraId="480A94F0" w14:textId="77777777" w:rsidR="000E163C" w:rsidRDefault="00444266">
            <w:pPr>
              <w:widowControl w:val="0"/>
              <w:pBdr>
                <w:top w:val="nil"/>
                <w:left w:val="nil"/>
                <w:bottom w:val="nil"/>
                <w:right w:val="nil"/>
                <w:between w:val="nil"/>
              </w:pBdr>
              <w:rPr>
                <w:sz w:val="22"/>
                <w:szCs w:val="22"/>
              </w:rPr>
            </w:pPr>
            <w:r>
              <w:rPr>
                <w:sz w:val="22"/>
                <w:szCs w:val="22"/>
              </w:rPr>
              <w:t>WELL BELOW</w:t>
            </w:r>
          </w:p>
        </w:tc>
        <w:tc>
          <w:tcPr>
            <w:tcW w:w="1256" w:type="dxa"/>
            <w:shd w:val="clear" w:color="auto" w:fill="auto"/>
            <w:tcMar>
              <w:top w:w="100" w:type="dxa"/>
              <w:left w:w="100" w:type="dxa"/>
              <w:bottom w:w="100" w:type="dxa"/>
              <w:right w:w="100" w:type="dxa"/>
            </w:tcMar>
          </w:tcPr>
          <w:p w14:paraId="59009E51" w14:textId="77777777" w:rsidR="000E163C" w:rsidRDefault="00444266">
            <w:pPr>
              <w:widowControl w:val="0"/>
              <w:pBdr>
                <w:top w:val="nil"/>
                <w:left w:val="nil"/>
                <w:bottom w:val="nil"/>
                <w:right w:val="nil"/>
                <w:between w:val="nil"/>
              </w:pBdr>
              <w:rPr>
                <w:sz w:val="22"/>
                <w:szCs w:val="22"/>
              </w:rPr>
            </w:pPr>
            <w:r>
              <w:rPr>
                <w:b/>
                <w:sz w:val="22"/>
                <w:szCs w:val="22"/>
              </w:rPr>
              <w:t>Proficient at Level 2</w:t>
            </w:r>
            <w:r>
              <w:rPr>
                <w:sz w:val="22"/>
                <w:szCs w:val="22"/>
              </w:rPr>
              <w:t xml:space="preserve"> </w:t>
            </w:r>
          </w:p>
          <w:p w14:paraId="07C66F2F" w14:textId="77777777" w:rsidR="000E163C" w:rsidRDefault="000E163C">
            <w:pPr>
              <w:widowControl w:val="0"/>
              <w:pBdr>
                <w:top w:val="nil"/>
                <w:left w:val="nil"/>
                <w:bottom w:val="nil"/>
                <w:right w:val="nil"/>
                <w:between w:val="nil"/>
              </w:pBdr>
              <w:rPr>
                <w:sz w:val="22"/>
                <w:szCs w:val="22"/>
              </w:rPr>
            </w:pPr>
          </w:p>
          <w:p w14:paraId="62A404CF" w14:textId="77777777" w:rsidR="000E163C" w:rsidRDefault="00444266">
            <w:pPr>
              <w:widowControl w:val="0"/>
              <w:pBdr>
                <w:top w:val="nil"/>
                <w:left w:val="nil"/>
                <w:bottom w:val="nil"/>
                <w:right w:val="nil"/>
                <w:between w:val="nil"/>
              </w:pBdr>
              <w:rPr>
                <w:sz w:val="22"/>
                <w:szCs w:val="22"/>
              </w:rPr>
            </w:pPr>
            <w:r>
              <w:rPr>
                <w:sz w:val="22"/>
                <w:szCs w:val="22"/>
              </w:rPr>
              <w:t>WELL</w:t>
            </w:r>
          </w:p>
          <w:p w14:paraId="495975E1" w14:textId="77777777" w:rsidR="000E163C" w:rsidRDefault="00444266">
            <w:pPr>
              <w:widowControl w:val="0"/>
              <w:pBdr>
                <w:top w:val="nil"/>
                <w:left w:val="nil"/>
                <w:bottom w:val="nil"/>
                <w:right w:val="nil"/>
                <w:between w:val="nil"/>
              </w:pBdr>
              <w:rPr>
                <w:sz w:val="22"/>
                <w:szCs w:val="22"/>
              </w:rPr>
            </w:pPr>
            <w:r>
              <w:rPr>
                <w:sz w:val="22"/>
                <w:szCs w:val="22"/>
              </w:rPr>
              <w:t>BELOW</w:t>
            </w:r>
          </w:p>
        </w:tc>
        <w:tc>
          <w:tcPr>
            <w:tcW w:w="1256" w:type="dxa"/>
            <w:shd w:val="clear" w:color="auto" w:fill="auto"/>
            <w:tcMar>
              <w:top w:w="100" w:type="dxa"/>
              <w:left w:w="100" w:type="dxa"/>
              <w:bottom w:w="100" w:type="dxa"/>
              <w:right w:w="100" w:type="dxa"/>
            </w:tcMar>
          </w:tcPr>
          <w:p w14:paraId="080C1C2C" w14:textId="77777777" w:rsidR="000E163C" w:rsidRDefault="00444266">
            <w:pPr>
              <w:widowControl w:val="0"/>
              <w:rPr>
                <w:sz w:val="22"/>
                <w:szCs w:val="22"/>
              </w:rPr>
            </w:pPr>
            <w:r>
              <w:rPr>
                <w:b/>
                <w:sz w:val="22"/>
                <w:szCs w:val="22"/>
              </w:rPr>
              <w:t>Advanced at level 2</w:t>
            </w:r>
            <w:r>
              <w:rPr>
                <w:sz w:val="22"/>
                <w:szCs w:val="22"/>
              </w:rPr>
              <w:t xml:space="preserve">  </w:t>
            </w:r>
          </w:p>
          <w:p w14:paraId="53A178E2" w14:textId="77777777" w:rsidR="000E163C" w:rsidRDefault="000E163C">
            <w:pPr>
              <w:widowControl w:val="0"/>
              <w:rPr>
                <w:sz w:val="22"/>
                <w:szCs w:val="22"/>
              </w:rPr>
            </w:pPr>
          </w:p>
          <w:p w14:paraId="74A75914" w14:textId="77777777" w:rsidR="000E163C" w:rsidRDefault="00444266">
            <w:pPr>
              <w:widowControl w:val="0"/>
              <w:rPr>
                <w:sz w:val="22"/>
                <w:szCs w:val="22"/>
              </w:rPr>
            </w:pPr>
            <w:r>
              <w:rPr>
                <w:sz w:val="22"/>
                <w:szCs w:val="22"/>
              </w:rPr>
              <w:t>BELOW</w:t>
            </w:r>
          </w:p>
        </w:tc>
        <w:tc>
          <w:tcPr>
            <w:tcW w:w="1256" w:type="dxa"/>
            <w:shd w:val="clear" w:color="auto" w:fill="FFFF00"/>
            <w:tcMar>
              <w:top w:w="100" w:type="dxa"/>
              <w:left w:w="100" w:type="dxa"/>
              <w:bottom w:w="100" w:type="dxa"/>
              <w:right w:w="100" w:type="dxa"/>
            </w:tcMar>
          </w:tcPr>
          <w:p w14:paraId="53115272" w14:textId="77777777" w:rsidR="000E163C" w:rsidRDefault="00444266">
            <w:pPr>
              <w:widowControl w:val="0"/>
              <w:rPr>
                <w:sz w:val="22"/>
                <w:szCs w:val="22"/>
              </w:rPr>
            </w:pPr>
            <w:r>
              <w:rPr>
                <w:sz w:val="22"/>
                <w:szCs w:val="22"/>
              </w:rPr>
              <w:t>Basic  at level 3</w:t>
            </w:r>
          </w:p>
          <w:p w14:paraId="5A94B4C2" w14:textId="77777777" w:rsidR="000E163C" w:rsidRDefault="000E163C">
            <w:pPr>
              <w:widowControl w:val="0"/>
              <w:rPr>
                <w:sz w:val="22"/>
                <w:szCs w:val="22"/>
              </w:rPr>
            </w:pPr>
          </w:p>
          <w:p w14:paraId="15E74C0C" w14:textId="77777777" w:rsidR="000E163C" w:rsidRDefault="00444266">
            <w:pPr>
              <w:widowControl w:val="0"/>
              <w:rPr>
                <w:sz w:val="22"/>
                <w:szCs w:val="22"/>
              </w:rPr>
            </w:pPr>
            <w:r>
              <w:rPr>
                <w:sz w:val="22"/>
                <w:szCs w:val="22"/>
              </w:rPr>
              <w:t>AT</w:t>
            </w:r>
          </w:p>
        </w:tc>
        <w:tc>
          <w:tcPr>
            <w:tcW w:w="1256" w:type="dxa"/>
            <w:shd w:val="clear" w:color="auto" w:fill="auto"/>
            <w:tcMar>
              <w:top w:w="100" w:type="dxa"/>
              <w:left w:w="100" w:type="dxa"/>
              <w:bottom w:w="100" w:type="dxa"/>
              <w:right w:w="100" w:type="dxa"/>
            </w:tcMar>
          </w:tcPr>
          <w:p w14:paraId="655D2C78" w14:textId="77777777" w:rsidR="000E163C" w:rsidRDefault="00444266">
            <w:pPr>
              <w:widowControl w:val="0"/>
              <w:pBdr>
                <w:top w:val="nil"/>
                <w:left w:val="nil"/>
                <w:bottom w:val="nil"/>
                <w:right w:val="nil"/>
                <w:between w:val="nil"/>
              </w:pBdr>
              <w:rPr>
                <w:b/>
                <w:sz w:val="22"/>
                <w:szCs w:val="22"/>
              </w:rPr>
            </w:pPr>
            <w:r>
              <w:rPr>
                <w:b/>
                <w:sz w:val="22"/>
                <w:szCs w:val="22"/>
              </w:rPr>
              <w:t>Proficient at level 3</w:t>
            </w:r>
          </w:p>
          <w:p w14:paraId="427FD5B4" w14:textId="77777777" w:rsidR="000E163C" w:rsidRDefault="000E163C">
            <w:pPr>
              <w:widowControl w:val="0"/>
              <w:pBdr>
                <w:top w:val="nil"/>
                <w:left w:val="nil"/>
                <w:bottom w:val="nil"/>
                <w:right w:val="nil"/>
                <w:between w:val="nil"/>
              </w:pBdr>
              <w:rPr>
                <w:sz w:val="22"/>
                <w:szCs w:val="22"/>
              </w:rPr>
            </w:pPr>
          </w:p>
          <w:p w14:paraId="3D3639A0" w14:textId="77777777" w:rsidR="000E163C" w:rsidRDefault="00444266">
            <w:pPr>
              <w:widowControl w:val="0"/>
              <w:pBdr>
                <w:top w:val="nil"/>
                <w:left w:val="nil"/>
                <w:bottom w:val="nil"/>
                <w:right w:val="nil"/>
                <w:between w:val="nil"/>
              </w:pBdr>
              <w:rPr>
                <w:sz w:val="22"/>
                <w:szCs w:val="22"/>
              </w:rPr>
            </w:pPr>
            <w:r>
              <w:rPr>
                <w:sz w:val="22"/>
                <w:szCs w:val="22"/>
              </w:rPr>
              <w:t>ABOVE</w:t>
            </w:r>
          </w:p>
        </w:tc>
        <w:tc>
          <w:tcPr>
            <w:tcW w:w="1256" w:type="dxa"/>
            <w:shd w:val="clear" w:color="auto" w:fill="auto"/>
            <w:tcMar>
              <w:top w:w="100" w:type="dxa"/>
              <w:left w:w="100" w:type="dxa"/>
              <w:bottom w:w="100" w:type="dxa"/>
              <w:right w:w="100" w:type="dxa"/>
            </w:tcMar>
          </w:tcPr>
          <w:p w14:paraId="644D83CB" w14:textId="77777777" w:rsidR="000E163C" w:rsidRDefault="00444266">
            <w:pPr>
              <w:widowControl w:val="0"/>
              <w:pBdr>
                <w:top w:val="nil"/>
                <w:left w:val="nil"/>
                <w:bottom w:val="nil"/>
                <w:right w:val="nil"/>
                <w:between w:val="nil"/>
              </w:pBdr>
              <w:rPr>
                <w:b/>
                <w:sz w:val="22"/>
                <w:szCs w:val="22"/>
              </w:rPr>
            </w:pPr>
            <w:r>
              <w:rPr>
                <w:b/>
                <w:sz w:val="22"/>
                <w:szCs w:val="22"/>
              </w:rPr>
              <w:t>Advanced at level 3</w:t>
            </w:r>
          </w:p>
          <w:p w14:paraId="0CC5E654" w14:textId="77777777" w:rsidR="000E163C" w:rsidRDefault="000E163C">
            <w:pPr>
              <w:widowControl w:val="0"/>
              <w:pBdr>
                <w:top w:val="nil"/>
                <w:left w:val="nil"/>
                <w:bottom w:val="nil"/>
                <w:right w:val="nil"/>
                <w:between w:val="nil"/>
              </w:pBdr>
              <w:rPr>
                <w:sz w:val="22"/>
                <w:szCs w:val="22"/>
              </w:rPr>
            </w:pPr>
          </w:p>
          <w:p w14:paraId="1F21E75B" w14:textId="77777777" w:rsidR="000E163C" w:rsidRDefault="00444266">
            <w:pPr>
              <w:widowControl w:val="0"/>
              <w:pBdr>
                <w:top w:val="nil"/>
                <w:left w:val="nil"/>
                <w:bottom w:val="nil"/>
                <w:right w:val="nil"/>
                <w:between w:val="nil"/>
              </w:pBdr>
              <w:rPr>
                <w:sz w:val="22"/>
                <w:szCs w:val="22"/>
              </w:rPr>
            </w:pPr>
            <w:r>
              <w:rPr>
                <w:sz w:val="22"/>
                <w:szCs w:val="22"/>
              </w:rPr>
              <w:t>WELL</w:t>
            </w:r>
          </w:p>
          <w:p w14:paraId="72B5426E" w14:textId="77777777" w:rsidR="000E163C" w:rsidRDefault="00444266">
            <w:pPr>
              <w:widowControl w:val="0"/>
              <w:pBdr>
                <w:top w:val="nil"/>
                <w:left w:val="nil"/>
                <w:bottom w:val="nil"/>
                <w:right w:val="nil"/>
                <w:between w:val="nil"/>
              </w:pBdr>
              <w:rPr>
                <w:sz w:val="22"/>
                <w:szCs w:val="22"/>
              </w:rPr>
            </w:pPr>
            <w:r>
              <w:rPr>
                <w:sz w:val="22"/>
                <w:szCs w:val="22"/>
              </w:rPr>
              <w:t>ABOVE</w:t>
            </w:r>
          </w:p>
        </w:tc>
        <w:tc>
          <w:tcPr>
            <w:tcW w:w="1256" w:type="dxa"/>
            <w:shd w:val="clear" w:color="auto" w:fill="auto"/>
            <w:tcMar>
              <w:top w:w="100" w:type="dxa"/>
              <w:left w:w="100" w:type="dxa"/>
              <w:bottom w:w="100" w:type="dxa"/>
              <w:right w:w="100" w:type="dxa"/>
            </w:tcMar>
          </w:tcPr>
          <w:p w14:paraId="2EC274E4" w14:textId="77777777" w:rsidR="000E163C" w:rsidRDefault="00444266">
            <w:pPr>
              <w:widowControl w:val="0"/>
              <w:pBdr>
                <w:top w:val="nil"/>
                <w:left w:val="nil"/>
                <w:bottom w:val="nil"/>
                <w:right w:val="nil"/>
                <w:between w:val="nil"/>
              </w:pBdr>
              <w:rPr>
                <w:sz w:val="22"/>
                <w:szCs w:val="22"/>
              </w:rPr>
            </w:pPr>
            <w:r>
              <w:rPr>
                <w:b/>
                <w:sz w:val="22"/>
                <w:szCs w:val="22"/>
              </w:rPr>
              <w:t>Basic at level 4</w:t>
            </w:r>
            <w:r>
              <w:rPr>
                <w:sz w:val="22"/>
                <w:szCs w:val="22"/>
              </w:rPr>
              <w:t xml:space="preserve"> </w:t>
            </w:r>
          </w:p>
          <w:p w14:paraId="750B1D46" w14:textId="77777777" w:rsidR="000E163C" w:rsidRDefault="000E163C">
            <w:pPr>
              <w:widowControl w:val="0"/>
              <w:pBdr>
                <w:top w:val="nil"/>
                <w:left w:val="nil"/>
                <w:bottom w:val="nil"/>
                <w:right w:val="nil"/>
                <w:between w:val="nil"/>
              </w:pBdr>
              <w:rPr>
                <w:sz w:val="22"/>
                <w:szCs w:val="22"/>
              </w:rPr>
            </w:pPr>
          </w:p>
          <w:p w14:paraId="466F0D73" w14:textId="77777777" w:rsidR="000E163C" w:rsidRDefault="00444266">
            <w:pPr>
              <w:widowControl w:val="0"/>
              <w:pBdr>
                <w:top w:val="nil"/>
                <w:left w:val="nil"/>
                <w:bottom w:val="nil"/>
                <w:right w:val="nil"/>
                <w:between w:val="nil"/>
              </w:pBdr>
              <w:rPr>
                <w:sz w:val="22"/>
                <w:szCs w:val="22"/>
              </w:rPr>
            </w:pPr>
            <w:r>
              <w:rPr>
                <w:sz w:val="22"/>
                <w:szCs w:val="22"/>
              </w:rPr>
              <w:t>WELL ABOVE</w:t>
            </w:r>
          </w:p>
        </w:tc>
        <w:tc>
          <w:tcPr>
            <w:tcW w:w="1256" w:type="dxa"/>
            <w:shd w:val="clear" w:color="auto" w:fill="auto"/>
            <w:tcMar>
              <w:top w:w="100" w:type="dxa"/>
              <w:left w:w="100" w:type="dxa"/>
              <w:bottom w:w="100" w:type="dxa"/>
              <w:right w:w="100" w:type="dxa"/>
            </w:tcMar>
          </w:tcPr>
          <w:p w14:paraId="2D63DAE8" w14:textId="77777777" w:rsidR="000E163C" w:rsidRDefault="00444266">
            <w:pPr>
              <w:widowControl w:val="0"/>
              <w:pBdr>
                <w:top w:val="nil"/>
                <w:left w:val="nil"/>
                <w:bottom w:val="nil"/>
                <w:right w:val="nil"/>
                <w:between w:val="nil"/>
              </w:pBdr>
              <w:rPr>
                <w:b/>
                <w:sz w:val="22"/>
                <w:szCs w:val="22"/>
              </w:rPr>
            </w:pPr>
            <w:r>
              <w:rPr>
                <w:b/>
                <w:sz w:val="22"/>
                <w:szCs w:val="22"/>
              </w:rPr>
              <w:t>Proficient at level 4</w:t>
            </w:r>
          </w:p>
          <w:p w14:paraId="6AD1BFDC" w14:textId="77777777" w:rsidR="000E163C" w:rsidRDefault="000E163C">
            <w:pPr>
              <w:widowControl w:val="0"/>
              <w:pBdr>
                <w:top w:val="nil"/>
                <w:left w:val="nil"/>
                <w:bottom w:val="nil"/>
                <w:right w:val="nil"/>
                <w:between w:val="nil"/>
              </w:pBdr>
              <w:rPr>
                <w:sz w:val="22"/>
                <w:szCs w:val="22"/>
              </w:rPr>
            </w:pPr>
          </w:p>
          <w:p w14:paraId="0BBA4300" w14:textId="77777777" w:rsidR="000E163C" w:rsidRDefault="00444266">
            <w:pPr>
              <w:widowControl w:val="0"/>
              <w:pBdr>
                <w:top w:val="nil"/>
                <w:left w:val="nil"/>
                <w:bottom w:val="nil"/>
                <w:right w:val="nil"/>
                <w:between w:val="nil"/>
              </w:pBdr>
              <w:rPr>
                <w:sz w:val="22"/>
                <w:szCs w:val="22"/>
              </w:rPr>
            </w:pPr>
            <w:r>
              <w:rPr>
                <w:sz w:val="22"/>
                <w:szCs w:val="22"/>
              </w:rPr>
              <w:t>WELL</w:t>
            </w:r>
          </w:p>
          <w:p w14:paraId="03A91605" w14:textId="77777777" w:rsidR="000E163C" w:rsidRDefault="00444266">
            <w:pPr>
              <w:widowControl w:val="0"/>
              <w:pBdr>
                <w:top w:val="nil"/>
                <w:left w:val="nil"/>
                <w:bottom w:val="nil"/>
                <w:right w:val="nil"/>
                <w:between w:val="nil"/>
              </w:pBdr>
              <w:rPr>
                <w:sz w:val="22"/>
                <w:szCs w:val="22"/>
              </w:rPr>
            </w:pPr>
            <w:r>
              <w:rPr>
                <w:sz w:val="22"/>
                <w:szCs w:val="22"/>
              </w:rPr>
              <w:t>ABOVE</w:t>
            </w:r>
          </w:p>
        </w:tc>
      </w:tr>
    </w:tbl>
    <w:p w14:paraId="198E8121" w14:textId="77777777" w:rsidR="000E163C" w:rsidRDefault="000E163C"/>
    <w:p w14:paraId="0AFC7F8C" w14:textId="28FB8FAB" w:rsidR="000E163C" w:rsidRDefault="00444266">
      <w:r>
        <w:t>I will now focus my attention on the Māori Immersion mid</w:t>
      </w:r>
      <w:r w:rsidR="00476847">
        <w:t>-</w:t>
      </w:r>
      <w:r>
        <w:t xml:space="preserve">year results. These will be written up and </w:t>
      </w:r>
      <w:r w:rsidR="00476847">
        <w:t>on the website soon.</w:t>
      </w:r>
    </w:p>
    <w:p w14:paraId="13B5C5F3" w14:textId="77777777" w:rsidR="000E163C" w:rsidRDefault="000E163C"/>
    <w:p w14:paraId="3F77B592" w14:textId="77777777" w:rsidR="000E163C" w:rsidRDefault="00444266">
      <w:r>
        <w:t>Clifford Wicks</w:t>
      </w:r>
    </w:p>
    <w:p w14:paraId="6E7D8804" w14:textId="3FD4C8F1" w:rsidR="000E163C" w:rsidRDefault="00476847">
      <w:r>
        <w:t xml:space="preserve">August 8 </w:t>
      </w:r>
      <w:r w:rsidR="00444266">
        <w:t>2023</w:t>
      </w:r>
    </w:p>
    <w:p w14:paraId="553DEFD2" w14:textId="77777777" w:rsidR="000E163C" w:rsidRDefault="000E163C"/>
    <w:sectPr w:rsidR="000E163C">
      <w:pgSz w:w="11906" w:h="16838"/>
      <w:pgMar w:top="576" w:right="1008" w:bottom="576" w:left="100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E2260"/>
    <w:multiLevelType w:val="multilevel"/>
    <w:tmpl w:val="D12E5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6674A9"/>
    <w:multiLevelType w:val="multilevel"/>
    <w:tmpl w:val="9DF8C7E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9337288">
    <w:abstractNumId w:val="0"/>
  </w:num>
  <w:num w:numId="2" w16cid:durableId="62115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63C"/>
    <w:rsid w:val="000E163C"/>
    <w:rsid w:val="00261456"/>
    <w:rsid w:val="00444266"/>
    <w:rsid w:val="004768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5C18A3D"/>
  <w15:docId w15:val="{43C7D578-F686-1948-B6A3-86D4CF67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D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1A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L16WU0BCKwdLi1sY/3J4sSDzIQ==">CgMxLjA4AHIhMXRucjBqVFV2WnVIQm9LaEJ3YW5lZHdpQW51VjBvLXk0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2023-08-07T22:02:00Z</dcterms:created>
  <dcterms:modified xsi:type="dcterms:W3CDTF">2023-08-07T22:10:00Z</dcterms:modified>
</cp:coreProperties>
</file>